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A863" w14:textId="77777777" w:rsidR="00813325" w:rsidRDefault="00813325">
      <w:pPr>
        <w:rPr>
          <w:rFonts w:ascii="Arial" w:hAnsi="Arial" w:cs="Arial"/>
          <w:b/>
          <w:bCs/>
          <w:sz w:val="28"/>
          <w:szCs w:val="28"/>
        </w:rPr>
      </w:pPr>
    </w:p>
    <w:p w14:paraId="0D917356" w14:textId="77777777" w:rsidR="00031D0F" w:rsidRDefault="00031D0F">
      <w:pPr>
        <w:rPr>
          <w:rFonts w:ascii="Arial" w:hAnsi="Arial" w:cs="Arial"/>
          <w:b/>
          <w:bCs/>
          <w:sz w:val="28"/>
          <w:szCs w:val="28"/>
        </w:rPr>
      </w:pPr>
    </w:p>
    <w:p w14:paraId="02F6DA8D" w14:textId="2C4DFF37" w:rsidR="00B11925" w:rsidRDefault="00B11925">
      <w:pPr>
        <w:rPr>
          <w:rFonts w:ascii="Arial" w:hAnsi="Arial" w:cs="Arial"/>
          <w:b/>
          <w:bCs/>
          <w:sz w:val="28"/>
          <w:szCs w:val="28"/>
        </w:rPr>
      </w:pPr>
      <w:r w:rsidRPr="00B11925">
        <w:rPr>
          <w:rFonts w:ascii="Arial" w:hAnsi="Arial" w:cs="Arial"/>
          <w:b/>
          <w:bCs/>
          <w:sz w:val="28"/>
          <w:szCs w:val="28"/>
        </w:rPr>
        <w:t>Glencraig generator proposal</w:t>
      </w:r>
    </w:p>
    <w:p w14:paraId="140CFE01" w14:textId="77777777" w:rsidR="00B11925" w:rsidRPr="00B11925" w:rsidRDefault="00B11925">
      <w:pPr>
        <w:rPr>
          <w:rFonts w:ascii="Arial" w:hAnsi="Arial" w:cs="Arial"/>
          <w:b/>
          <w:bCs/>
          <w:sz w:val="28"/>
          <w:szCs w:val="28"/>
        </w:rPr>
      </w:pPr>
    </w:p>
    <w:p w14:paraId="24181897" w14:textId="6639FFEF" w:rsidR="00B11925" w:rsidRDefault="00B119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2E4312BA" w14:textId="4DBDF1DD" w:rsidR="00B11925" w:rsidRDefault="00B11925">
      <w:pPr>
        <w:rPr>
          <w:rFonts w:ascii="Arial" w:hAnsi="Arial" w:cs="Arial"/>
        </w:rPr>
      </w:pPr>
      <w:r>
        <w:rPr>
          <w:rFonts w:ascii="Arial" w:hAnsi="Arial" w:cs="Arial"/>
        </w:rPr>
        <w:t>In December 2024, a rat damaged electric power cables in a mini sub-station causing a major power outage across much of the Glencraig site.</w:t>
      </w:r>
    </w:p>
    <w:p w14:paraId="49AA45F3" w14:textId="1BB267FD" w:rsidR="00B11925" w:rsidRDefault="00B11925" w:rsidP="00B1192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B119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incident highlighted the need for a greater understanding between CHA, CCT and Glencraig, (CCG), regarding their respective responsibilities for the infrastructure in the Community. To consider these issues, a working group comprised of staff from CCG, CCT, &amp; CHA was created.</w:t>
      </w:r>
    </w:p>
    <w:p w14:paraId="3CDA60C6" w14:textId="77777777" w:rsidR="00B11925" w:rsidRDefault="00B11925" w:rsidP="00B11925">
      <w:pPr>
        <w:spacing w:after="0" w:line="240" w:lineRule="auto"/>
        <w:rPr>
          <w:rFonts w:ascii="Arial" w:hAnsi="Arial" w:cs="Arial"/>
        </w:rPr>
      </w:pPr>
    </w:p>
    <w:p w14:paraId="1C4D902F" w14:textId="77777777" w:rsidR="00B11925" w:rsidRDefault="00B11925">
      <w:pPr>
        <w:rPr>
          <w:rFonts w:ascii="Arial" w:hAnsi="Arial" w:cs="Arial"/>
        </w:rPr>
      </w:pPr>
      <w:r w:rsidRPr="00B11925">
        <w:rPr>
          <w:rFonts w:ascii="Arial" w:hAnsi="Arial" w:cs="Arial"/>
        </w:rPr>
        <w:t xml:space="preserve">The primary focus of the working group has been on agreeing measures to mitigate the risk of future power failure at the Community. </w:t>
      </w:r>
      <w:r>
        <w:rPr>
          <w:rFonts w:ascii="Arial" w:hAnsi="Arial" w:cs="Arial"/>
        </w:rPr>
        <w:t>T</w:t>
      </w:r>
      <w:r w:rsidRPr="00B11925">
        <w:rPr>
          <w:rFonts w:ascii="Arial" w:hAnsi="Arial" w:cs="Arial"/>
        </w:rPr>
        <w:t>he group has agreed that this can only be achieved by the purchase of appropriate diesel generators</w:t>
      </w:r>
      <w:r>
        <w:rPr>
          <w:rFonts w:ascii="Arial" w:hAnsi="Arial" w:cs="Arial"/>
        </w:rPr>
        <w:t>, and each of the working group members are putting this proposal to their Board for consideration.</w:t>
      </w:r>
    </w:p>
    <w:p w14:paraId="4F91FC89" w14:textId="77777777" w:rsidR="00B11925" w:rsidRDefault="00B11925">
      <w:pPr>
        <w:rPr>
          <w:rFonts w:ascii="Arial" w:hAnsi="Arial" w:cs="Arial"/>
        </w:rPr>
      </w:pPr>
    </w:p>
    <w:p w14:paraId="34AE6DD5" w14:textId="77777777" w:rsidR="00B11925" w:rsidRDefault="00B11925">
      <w:pPr>
        <w:rPr>
          <w:rFonts w:ascii="Arial" w:hAnsi="Arial" w:cs="Arial"/>
          <w:b/>
          <w:bCs/>
        </w:rPr>
      </w:pPr>
      <w:r w:rsidRPr="00B11925">
        <w:rPr>
          <w:rFonts w:ascii="Arial" w:hAnsi="Arial" w:cs="Arial"/>
          <w:b/>
          <w:bCs/>
        </w:rPr>
        <w:t xml:space="preserve">Actions taken        </w:t>
      </w:r>
    </w:p>
    <w:p w14:paraId="10431382" w14:textId="7AE248F7" w:rsidR="0046209E" w:rsidRDefault="00A46469" w:rsidP="0046209E">
      <w:pPr>
        <w:rPr>
          <w:rFonts w:ascii="Arial" w:hAnsi="Arial" w:cs="Arial"/>
        </w:rPr>
      </w:pPr>
      <w:r w:rsidRPr="0046209E">
        <w:rPr>
          <w:rFonts w:ascii="Arial" w:hAnsi="Arial" w:cs="Arial"/>
        </w:rPr>
        <w:t xml:space="preserve">Investigations </w:t>
      </w:r>
      <w:r w:rsidR="0046209E" w:rsidRPr="0046209E">
        <w:rPr>
          <w:rFonts w:ascii="Arial" w:hAnsi="Arial" w:cs="Arial"/>
        </w:rPr>
        <w:t>were undertaken to map the power grid supplying the site</w:t>
      </w:r>
      <w:r w:rsidR="0046209E">
        <w:rPr>
          <w:rFonts w:ascii="Arial" w:hAnsi="Arial" w:cs="Arial"/>
        </w:rPr>
        <w:t xml:space="preserve"> by a consultant appointed by CCG</w:t>
      </w:r>
      <w:r w:rsidR="0046209E" w:rsidRPr="0046209E">
        <w:rPr>
          <w:rFonts w:ascii="Arial" w:hAnsi="Arial" w:cs="Arial"/>
        </w:rPr>
        <w:t xml:space="preserve">. These </w:t>
      </w:r>
      <w:r w:rsidRPr="0046209E">
        <w:rPr>
          <w:rFonts w:ascii="Arial" w:hAnsi="Arial" w:cs="Arial"/>
        </w:rPr>
        <w:t>revealed that the main power input from NIE is distributed around the Community on 2 separate grids. Each grid supplies a mixture of properties owned by CCG, CCT, and CHA.</w:t>
      </w:r>
      <w:r w:rsidR="00B11925" w:rsidRPr="0046209E">
        <w:rPr>
          <w:rFonts w:ascii="Arial" w:hAnsi="Arial" w:cs="Arial"/>
        </w:rPr>
        <w:t xml:space="preserve"> </w:t>
      </w:r>
    </w:p>
    <w:p w14:paraId="27D73A6F" w14:textId="1A23A861" w:rsidR="00074F93" w:rsidRDefault="00074F93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also 4 properties near the </w:t>
      </w:r>
      <w:proofErr w:type="spellStart"/>
      <w:r>
        <w:rPr>
          <w:rFonts w:ascii="Arial" w:hAnsi="Arial" w:cs="Arial"/>
        </w:rPr>
        <w:t>Seahill</w:t>
      </w:r>
      <w:proofErr w:type="spellEnd"/>
      <w:r>
        <w:rPr>
          <w:rFonts w:ascii="Arial" w:hAnsi="Arial" w:cs="Arial"/>
        </w:rPr>
        <w:t xml:space="preserve"> Road boundary of the site which are supplied directly from NIE and are not on either of the 2 internal grids.</w:t>
      </w:r>
    </w:p>
    <w:p w14:paraId="2CF9AD1F" w14:textId="5C41A3C6" w:rsidR="00B11925" w:rsidRDefault="00A46469" w:rsidP="0046209E">
      <w:pPr>
        <w:rPr>
          <w:rFonts w:ascii="Arial" w:hAnsi="Arial" w:cs="Arial"/>
        </w:rPr>
      </w:pPr>
      <w:r w:rsidRPr="0046209E">
        <w:rPr>
          <w:rFonts w:ascii="Arial" w:hAnsi="Arial" w:cs="Arial"/>
        </w:rPr>
        <w:t xml:space="preserve">NIE state that they are not responsible for the distribution of power to individual properties within the Community as this is a private site. The main power from NIE is distributed </w:t>
      </w:r>
      <w:r w:rsidR="0046209E">
        <w:rPr>
          <w:rFonts w:ascii="Arial" w:hAnsi="Arial" w:cs="Arial"/>
        </w:rPr>
        <w:t>through 2 main sub-stations</w:t>
      </w:r>
      <w:r w:rsidR="0046209E" w:rsidRPr="0046209E">
        <w:rPr>
          <w:rFonts w:ascii="Arial" w:hAnsi="Arial" w:cs="Arial"/>
        </w:rPr>
        <w:t xml:space="preserve"> onto</w:t>
      </w:r>
      <w:r w:rsidR="0046209E">
        <w:rPr>
          <w:rFonts w:ascii="Arial" w:hAnsi="Arial" w:cs="Arial"/>
        </w:rPr>
        <w:t xml:space="preserve"> the internal grids.</w:t>
      </w:r>
    </w:p>
    <w:p w14:paraId="2AA62CC0" w14:textId="3A0945C4" w:rsidR="0046209E" w:rsidRDefault="0046209E" w:rsidP="0046209E">
      <w:pPr>
        <w:rPr>
          <w:rFonts w:ascii="Arial" w:hAnsi="Arial" w:cs="Arial"/>
        </w:rPr>
      </w:pPr>
      <w:r>
        <w:rPr>
          <w:rFonts w:ascii="Arial" w:hAnsi="Arial" w:cs="Arial"/>
        </w:rPr>
        <w:t>CHA appointed a consultant to measure the power usage</w:t>
      </w:r>
      <w:r w:rsidR="00813325">
        <w:rPr>
          <w:rFonts w:ascii="Arial" w:hAnsi="Arial" w:cs="Arial"/>
        </w:rPr>
        <w:t xml:space="preserve"> at each sub-station</w:t>
      </w:r>
      <w:r w:rsidR="00074F93">
        <w:rPr>
          <w:rFonts w:ascii="Arial" w:hAnsi="Arial" w:cs="Arial"/>
        </w:rPr>
        <w:t xml:space="preserve"> </w:t>
      </w:r>
      <w:r w:rsidR="00813325">
        <w:rPr>
          <w:rFonts w:ascii="Arial" w:hAnsi="Arial" w:cs="Arial"/>
        </w:rPr>
        <w:t>using</w:t>
      </w:r>
      <w:r w:rsidR="00074F93">
        <w:rPr>
          <w:rFonts w:ascii="Arial" w:hAnsi="Arial" w:cs="Arial"/>
        </w:rPr>
        <w:t xml:space="preserve"> a Hawk meter</w:t>
      </w:r>
      <w:r>
        <w:rPr>
          <w:rFonts w:ascii="Arial" w:hAnsi="Arial" w:cs="Arial"/>
        </w:rPr>
        <w:t xml:space="preserve"> to determine the capacity of generator required.</w:t>
      </w:r>
    </w:p>
    <w:p w14:paraId="0FB36944" w14:textId="2640D40D" w:rsidR="0046209E" w:rsidRDefault="0046209E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 obtained </w:t>
      </w:r>
      <w:r w:rsidR="00813325">
        <w:rPr>
          <w:rFonts w:ascii="Arial" w:hAnsi="Arial" w:cs="Arial"/>
        </w:rPr>
        <w:t>estimated costs</w:t>
      </w:r>
      <w:r>
        <w:rPr>
          <w:rFonts w:ascii="Arial" w:hAnsi="Arial" w:cs="Arial"/>
        </w:rPr>
        <w:t xml:space="preserve"> </w:t>
      </w:r>
      <w:r w:rsidR="00074F93">
        <w:rPr>
          <w:rFonts w:ascii="Arial" w:hAnsi="Arial" w:cs="Arial"/>
        </w:rPr>
        <w:t>based upon the HAWK readings.</w:t>
      </w:r>
    </w:p>
    <w:p w14:paraId="43087D3E" w14:textId="11BFEB31" w:rsidR="00074F93" w:rsidRDefault="00074F93" w:rsidP="0046209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13325">
        <w:rPr>
          <w:rFonts w:ascii="Arial" w:hAnsi="Arial" w:cs="Arial"/>
        </w:rPr>
        <w:t>se costs</w:t>
      </w:r>
      <w:r>
        <w:rPr>
          <w:rFonts w:ascii="Arial" w:hAnsi="Arial" w:cs="Arial"/>
        </w:rPr>
        <w:t xml:space="preserve"> are attached at Appendix A.</w:t>
      </w:r>
    </w:p>
    <w:p w14:paraId="36017CA5" w14:textId="77777777" w:rsidR="00074F93" w:rsidRDefault="00074F93" w:rsidP="0046209E">
      <w:pPr>
        <w:rPr>
          <w:rFonts w:ascii="Arial" w:hAnsi="Arial" w:cs="Arial"/>
        </w:rPr>
      </w:pPr>
    </w:p>
    <w:p w14:paraId="1072D358" w14:textId="77777777" w:rsidR="00B36DEC" w:rsidRDefault="00B36DEC" w:rsidP="0046209E">
      <w:pPr>
        <w:rPr>
          <w:rFonts w:ascii="Arial" w:hAnsi="Arial" w:cs="Arial"/>
        </w:rPr>
      </w:pPr>
    </w:p>
    <w:p w14:paraId="68D28153" w14:textId="77777777" w:rsidR="00B36DEC" w:rsidRDefault="00B36DEC" w:rsidP="0046209E">
      <w:pPr>
        <w:rPr>
          <w:rFonts w:ascii="Arial" w:hAnsi="Arial" w:cs="Arial"/>
        </w:rPr>
      </w:pPr>
    </w:p>
    <w:p w14:paraId="688AB4FB" w14:textId="77777777" w:rsidR="00813325" w:rsidRDefault="00813325" w:rsidP="0046209E">
      <w:pPr>
        <w:rPr>
          <w:rFonts w:ascii="Arial" w:hAnsi="Arial" w:cs="Arial"/>
          <w:b/>
          <w:bCs/>
        </w:rPr>
      </w:pPr>
    </w:p>
    <w:p w14:paraId="103123A2" w14:textId="6741F617" w:rsidR="00074F93" w:rsidRDefault="00074F93" w:rsidP="0046209E">
      <w:pPr>
        <w:rPr>
          <w:rFonts w:ascii="Arial" w:hAnsi="Arial" w:cs="Arial"/>
          <w:b/>
          <w:bCs/>
        </w:rPr>
      </w:pPr>
      <w:r w:rsidRPr="00074F93">
        <w:rPr>
          <w:rFonts w:ascii="Arial" w:hAnsi="Arial" w:cs="Arial"/>
          <w:b/>
          <w:bCs/>
        </w:rPr>
        <w:t xml:space="preserve">Proposal </w:t>
      </w:r>
    </w:p>
    <w:p w14:paraId="7BA93DDE" w14:textId="77777777" w:rsidR="00B36DEC" w:rsidRDefault="00074F93" w:rsidP="00B36D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Generators required    </w:t>
      </w:r>
    </w:p>
    <w:p w14:paraId="0714678A" w14:textId="4276D08C" w:rsidR="00B36DEC" w:rsidRDefault="00074F93" w:rsidP="0046209E">
      <w:pPr>
        <w:rPr>
          <w:rFonts w:ascii="Arial" w:hAnsi="Arial" w:cs="Arial"/>
        </w:rPr>
      </w:pPr>
      <w:r w:rsidRPr="00074F93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is proposed that 2 fixed generators</w:t>
      </w:r>
      <w:r w:rsidR="00B36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purchased which will cover all the properties on the 2 main </w:t>
      </w:r>
      <w:r w:rsidR="00B36DEC">
        <w:rPr>
          <w:rFonts w:ascii="Arial" w:hAnsi="Arial" w:cs="Arial"/>
        </w:rPr>
        <w:t>grids. These will require concrete foundations and oil tanks.</w:t>
      </w:r>
    </w:p>
    <w:p w14:paraId="3263167A" w14:textId="7F70F34F" w:rsidR="00074F93" w:rsidRDefault="00B36DEC" w:rsidP="0046209E">
      <w:pPr>
        <w:rPr>
          <w:rFonts w:ascii="Arial" w:hAnsi="Arial" w:cs="Arial"/>
        </w:rPr>
      </w:pPr>
      <w:r>
        <w:rPr>
          <w:rFonts w:ascii="Arial" w:hAnsi="Arial" w:cs="Arial"/>
        </w:rPr>
        <w:t>The 4 “outlying” properties will be provided with 2 mobile generators including the appropriate socket attachments.</w:t>
      </w:r>
    </w:p>
    <w:p w14:paraId="7E7586ED" w14:textId="4F725748" w:rsidR="00B36DEC" w:rsidRPr="00B36DEC" w:rsidRDefault="00B36DEC" w:rsidP="0046209E">
      <w:pPr>
        <w:rPr>
          <w:rFonts w:ascii="Arial" w:hAnsi="Arial" w:cs="Arial"/>
          <w:b/>
          <w:bCs/>
        </w:rPr>
      </w:pPr>
      <w:r w:rsidRPr="00B36DEC">
        <w:rPr>
          <w:rFonts w:ascii="Arial" w:hAnsi="Arial" w:cs="Arial"/>
          <w:b/>
          <w:bCs/>
        </w:rPr>
        <w:t>Purchase of Generators and associated works</w:t>
      </w:r>
    </w:p>
    <w:p w14:paraId="7461F1BD" w14:textId="516D95F5" w:rsidR="00257FD3" w:rsidRDefault="00B36DEC" w:rsidP="0046209E">
      <w:pPr>
        <w:rPr>
          <w:rFonts w:ascii="Arial" w:hAnsi="Arial" w:cs="Arial"/>
        </w:rPr>
      </w:pPr>
      <w:r w:rsidRPr="00B36DEC">
        <w:rPr>
          <w:rFonts w:ascii="Arial" w:hAnsi="Arial" w:cs="Arial"/>
        </w:rPr>
        <w:t xml:space="preserve">It is proposed that </w:t>
      </w:r>
      <w:r>
        <w:rPr>
          <w:rFonts w:ascii="Arial" w:hAnsi="Arial" w:cs="Arial"/>
        </w:rPr>
        <w:t>the generators</w:t>
      </w:r>
      <w:r w:rsidR="00EF3B91">
        <w:rPr>
          <w:rFonts w:ascii="Arial" w:hAnsi="Arial" w:cs="Arial"/>
        </w:rPr>
        <w:t xml:space="preserve"> and associated works</w:t>
      </w:r>
      <w:r>
        <w:rPr>
          <w:rFonts w:ascii="Arial" w:hAnsi="Arial" w:cs="Arial"/>
        </w:rPr>
        <w:t xml:space="preserve"> are purchased by C</w:t>
      </w:r>
      <w:r w:rsidR="00EF3B91">
        <w:rPr>
          <w:rFonts w:ascii="Arial" w:hAnsi="Arial" w:cs="Arial"/>
        </w:rPr>
        <w:t>CG</w:t>
      </w:r>
      <w:r w:rsidR="00257FD3">
        <w:rPr>
          <w:rFonts w:ascii="Arial" w:hAnsi="Arial" w:cs="Arial"/>
        </w:rPr>
        <w:t>,</w:t>
      </w:r>
      <w:r w:rsidR="00EF3B91">
        <w:rPr>
          <w:rFonts w:ascii="Arial" w:hAnsi="Arial" w:cs="Arial"/>
        </w:rPr>
        <w:t xml:space="preserve"> who will undertake all procurement due diligence.</w:t>
      </w:r>
      <w:r>
        <w:rPr>
          <w:rFonts w:ascii="Arial" w:hAnsi="Arial" w:cs="Arial"/>
        </w:rPr>
        <w:t xml:space="preserve"> CCG and CHA </w:t>
      </w:r>
      <w:r w:rsidR="00EF3B91">
        <w:rPr>
          <w:rFonts w:ascii="Arial" w:hAnsi="Arial" w:cs="Arial"/>
        </w:rPr>
        <w:t xml:space="preserve">will </w:t>
      </w:r>
      <w:r w:rsidR="007A4972">
        <w:rPr>
          <w:rFonts w:ascii="Arial" w:hAnsi="Arial" w:cs="Arial"/>
        </w:rPr>
        <w:t>each contribute</w:t>
      </w:r>
      <w:r>
        <w:rPr>
          <w:rFonts w:ascii="Arial" w:hAnsi="Arial" w:cs="Arial"/>
        </w:rPr>
        <w:t xml:space="preserve"> </w:t>
      </w:r>
      <w:r w:rsidR="00257FD3">
        <w:rPr>
          <w:rFonts w:ascii="Arial" w:hAnsi="Arial" w:cs="Arial"/>
        </w:rPr>
        <w:t xml:space="preserve">one third </w:t>
      </w:r>
      <w:r w:rsidR="007A497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257FD3">
        <w:rPr>
          <w:rFonts w:ascii="Arial" w:hAnsi="Arial" w:cs="Arial"/>
        </w:rPr>
        <w:t xml:space="preserve">the </w:t>
      </w:r>
      <w:r w:rsidR="007A4972">
        <w:rPr>
          <w:rFonts w:ascii="Arial" w:hAnsi="Arial" w:cs="Arial"/>
        </w:rPr>
        <w:t xml:space="preserve">total </w:t>
      </w:r>
      <w:r w:rsidR="00257FD3">
        <w:rPr>
          <w:rFonts w:ascii="Arial" w:hAnsi="Arial" w:cs="Arial"/>
        </w:rPr>
        <w:t>overall costs.</w:t>
      </w:r>
    </w:p>
    <w:p w14:paraId="1AEACA8E" w14:textId="7ED762AD" w:rsidR="00257FD3" w:rsidRPr="00257FD3" w:rsidRDefault="00257FD3" w:rsidP="0046209E">
      <w:pPr>
        <w:rPr>
          <w:rFonts w:ascii="Arial" w:hAnsi="Arial" w:cs="Arial"/>
          <w:b/>
          <w:bCs/>
        </w:rPr>
      </w:pPr>
      <w:r w:rsidRPr="00257FD3">
        <w:rPr>
          <w:rFonts w:ascii="Arial" w:hAnsi="Arial" w:cs="Arial"/>
          <w:b/>
          <w:bCs/>
        </w:rPr>
        <w:t>Ownership</w:t>
      </w:r>
    </w:p>
    <w:p w14:paraId="757E0A92" w14:textId="4F146200" w:rsidR="00257FD3" w:rsidRDefault="00257FD3" w:rsidP="0046209E">
      <w:pPr>
        <w:rPr>
          <w:rFonts w:ascii="Arial" w:hAnsi="Arial" w:cs="Arial"/>
        </w:rPr>
      </w:pPr>
      <w:r>
        <w:rPr>
          <w:rFonts w:ascii="Arial" w:hAnsi="Arial" w:cs="Arial"/>
        </w:rPr>
        <w:t>It is proposed that CCG will own the assets, and hence all ongoing maintenance and operational costs will be borne by them.</w:t>
      </w:r>
    </w:p>
    <w:p w14:paraId="1A6238E5" w14:textId="77777777" w:rsidR="00257FD3" w:rsidRDefault="00257FD3" w:rsidP="0046209E">
      <w:pPr>
        <w:rPr>
          <w:rFonts w:ascii="Arial" w:hAnsi="Arial" w:cs="Arial"/>
        </w:rPr>
      </w:pPr>
    </w:p>
    <w:p w14:paraId="7F74884A" w14:textId="610AABC9" w:rsidR="00257FD3" w:rsidRDefault="00257FD3" w:rsidP="0046209E">
      <w:pPr>
        <w:rPr>
          <w:rFonts w:ascii="Arial" w:hAnsi="Arial" w:cs="Arial"/>
          <w:b/>
          <w:bCs/>
        </w:rPr>
      </w:pPr>
      <w:r w:rsidRPr="00257FD3">
        <w:rPr>
          <w:rFonts w:ascii="Arial" w:hAnsi="Arial" w:cs="Arial"/>
          <w:b/>
          <w:bCs/>
        </w:rPr>
        <w:t xml:space="preserve">Estimate of </w:t>
      </w:r>
      <w:r w:rsidR="00F46D65">
        <w:rPr>
          <w:rFonts w:ascii="Arial" w:hAnsi="Arial" w:cs="Arial"/>
          <w:b/>
          <w:bCs/>
        </w:rPr>
        <w:t xml:space="preserve">Total costs and </w:t>
      </w:r>
      <w:r w:rsidRPr="00257FD3">
        <w:rPr>
          <w:rFonts w:ascii="Arial" w:hAnsi="Arial" w:cs="Arial"/>
          <w:b/>
          <w:bCs/>
        </w:rPr>
        <w:t xml:space="preserve">CHA </w:t>
      </w:r>
      <w:r w:rsidR="00F46D65">
        <w:rPr>
          <w:rFonts w:ascii="Arial" w:hAnsi="Arial" w:cs="Arial"/>
          <w:b/>
          <w:bCs/>
        </w:rPr>
        <w:t>share</w:t>
      </w:r>
    </w:p>
    <w:p w14:paraId="1C064790" w14:textId="498E7D8F" w:rsidR="00EF3B91" w:rsidRPr="00257FD3" w:rsidRDefault="00EF3B91" w:rsidP="004620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£</w:t>
      </w:r>
    </w:p>
    <w:p w14:paraId="60A50E40" w14:textId="2CCC244F" w:rsidR="0046209E" w:rsidRDefault="00EF3B91" w:rsidP="0046209E">
      <w:pPr>
        <w:rPr>
          <w:rFonts w:ascii="Arial" w:hAnsi="Arial" w:cs="Arial"/>
        </w:rPr>
      </w:pPr>
      <w:r>
        <w:rPr>
          <w:rFonts w:ascii="Arial" w:hAnsi="Arial" w:cs="Arial"/>
        </w:rPr>
        <w:t>2 fixed generators, (1@170KVA, 1@ 55KVA)                52,424</w:t>
      </w:r>
    </w:p>
    <w:p w14:paraId="78FB15C6" w14:textId="3F1FF268" w:rsidR="00257FD3" w:rsidRDefault="00EF3B91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Electrical works to fit              </w:t>
      </w:r>
      <w:r w:rsidR="007A4972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28,560</w:t>
      </w:r>
    </w:p>
    <w:p w14:paraId="05E4EECC" w14:textId="62B04016" w:rsidR="00F46D65" w:rsidRDefault="00EF3B91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Concrete bases                        </w:t>
      </w:r>
      <w:r w:rsidR="007A4972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10,000</w:t>
      </w:r>
    </w:p>
    <w:p w14:paraId="20BDAC65" w14:textId="12DDD139" w:rsidR="00EF3B91" w:rsidRDefault="007A4972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1@ 2,000 </w:t>
      </w:r>
      <w:proofErr w:type="spellStart"/>
      <w:r>
        <w:rPr>
          <w:rFonts w:ascii="Arial" w:hAnsi="Arial" w:cs="Arial"/>
        </w:rPr>
        <w:t>ltr</w:t>
      </w:r>
      <w:proofErr w:type="spellEnd"/>
      <w:r>
        <w:rPr>
          <w:rFonts w:ascii="Arial" w:hAnsi="Arial" w:cs="Arial"/>
        </w:rPr>
        <w:t xml:space="preserve"> bunded</w:t>
      </w:r>
      <w:r w:rsidR="00EF3B91">
        <w:rPr>
          <w:rFonts w:ascii="Arial" w:hAnsi="Arial" w:cs="Arial"/>
        </w:rPr>
        <w:t xml:space="preserve"> diesel tank</w:t>
      </w:r>
      <w:r>
        <w:rPr>
          <w:rFonts w:ascii="Arial" w:hAnsi="Arial" w:cs="Arial"/>
        </w:rPr>
        <w:t xml:space="preserve">                                       4,590</w:t>
      </w:r>
    </w:p>
    <w:p w14:paraId="063441F8" w14:textId="3B5DA709" w:rsidR="007A4972" w:rsidRDefault="007A4972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1@ 1,000 </w:t>
      </w:r>
      <w:proofErr w:type="spellStart"/>
      <w:r>
        <w:rPr>
          <w:rFonts w:ascii="Arial" w:hAnsi="Arial" w:cs="Arial"/>
        </w:rPr>
        <w:t>ltr</w:t>
      </w:r>
      <w:proofErr w:type="spellEnd"/>
      <w:r>
        <w:rPr>
          <w:rFonts w:ascii="Arial" w:hAnsi="Arial" w:cs="Arial"/>
        </w:rPr>
        <w:t xml:space="preserve"> bunded diesel</w:t>
      </w:r>
      <w:r>
        <w:rPr>
          <w:rFonts w:ascii="Arial" w:hAnsi="Arial" w:cs="Arial"/>
        </w:rPr>
        <w:tab/>
        <w:t xml:space="preserve"> tank                                       3,694</w:t>
      </w:r>
    </w:p>
    <w:p w14:paraId="61E2AA5A" w14:textId="72EE4F1B" w:rsidR="00EF3B91" w:rsidRDefault="00EF3B91" w:rsidP="0046209E">
      <w:pPr>
        <w:rPr>
          <w:rFonts w:ascii="Arial" w:hAnsi="Arial" w:cs="Arial"/>
        </w:rPr>
      </w:pPr>
      <w:r>
        <w:rPr>
          <w:rFonts w:ascii="Arial" w:hAnsi="Arial" w:cs="Arial"/>
        </w:rPr>
        <w:t>2 mobile 15KVA generators</w:t>
      </w:r>
      <w:r w:rsidR="007A4972">
        <w:rPr>
          <w:rFonts w:ascii="Arial" w:hAnsi="Arial" w:cs="Arial"/>
        </w:rPr>
        <w:t xml:space="preserve">                                             10,000</w:t>
      </w:r>
    </w:p>
    <w:p w14:paraId="6B96AE1D" w14:textId="2A3B9615" w:rsidR="007A4972" w:rsidRDefault="007A4972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Commando sockets and fitting                      </w:t>
      </w:r>
      <w:r w:rsidR="00CA6E1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1,000</w:t>
      </w:r>
    </w:p>
    <w:p w14:paraId="0BBF0E27" w14:textId="2EF3CC68" w:rsidR="00EF3B91" w:rsidRDefault="007A4972" w:rsidP="0046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------------</w:t>
      </w:r>
    </w:p>
    <w:p w14:paraId="375F9975" w14:textId="7E7AC5A0" w:rsidR="007A4972" w:rsidRPr="00766D45" w:rsidRDefault="007A4972" w:rsidP="0046209E">
      <w:pPr>
        <w:rPr>
          <w:rFonts w:ascii="Arial" w:hAnsi="Arial" w:cs="Arial"/>
          <w:b/>
          <w:bCs/>
          <w:u w:val="single"/>
        </w:rPr>
      </w:pPr>
      <w:r w:rsidRPr="00766D45">
        <w:rPr>
          <w:rFonts w:ascii="Arial" w:hAnsi="Arial" w:cs="Arial"/>
          <w:b/>
          <w:bCs/>
        </w:rPr>
        <w:t xml:space="preserve">Total estimated cost                                                      </w:t>
      </w:r>
      <w:r w:rsidRPr="00766D45">
        <w:rPr>
          <w:rFonts w:ascii="Arial" w:hAnsi="Arial" w:cs="Arial"/>
          <w:b/>
          <w:bCs/>
          <w:u w:val="single"/>
        </w:rPr>
        <w:t>110,268</w:t>
      </w:r>
    </w:p>
    <w:p w14:paraId="3D3619A9" w14:textId="77777777" w:rsidR="00766D45" w:rsidRDefault="00766D45" w:rsidP="0046209E">
      <w:pPr>
        <w:rPr>
          <w:rFonts w:ascii="Arial" w:hAnsi="Arial" w:cs="Arial"/>
          <w:u w:val="single"/>
        </w:rPr>
      </w:pPr>
    </w:p>
    <w:p w14:paraId="528AF681" w14:textId="061651BC" w:rsidR="00766D45" w:rsidRPr="00766D45" w:rsidRDefault="00766D45" w:rsidP="0046209E">
      <w:pPr>
        <w:rPr>
          <w:rFonts w:ascii="Arial" w:hAnsi="Arial" w:cs="Arial"/>
          <w:b/>
          <w:bCs/>
        </w:rPr>
      </w:pPr>
      <w:r w:rsidRPr="00766D45">
        <w:rPr>
          <w:rFonts w:ascii="Arial" w:hAnsi="Arial" w:cs="Arial"/>
          <w:b/>
          <w:bCs/>
        </w:rPr>
        <w:t xml:space="preserve">CHA share of estimated costs   </w:t>
      </w:r>
      <w:r w:rsidRPr="00766D45">
        <w:rPr>
          <w:rFonts w:ascii="Arial" w:hAnsi="Arial" w:cs="Arial"/>
          <w:b/>
          <w:bCs/>
          <w:u w:val="single"/>
        </w:rPr>
        <w:t>£36,756</w:t>
      </w:r>
    </w:p>
    <w:p w14:paraId="1E4EA6FE" w14:textId="77777777" w:rsidR="00F46D65" w:rsidRDefault="00F46D65" w:rsidP="0046209E">
      <w:pPr>
        <w:rPr>
          <w:rFonts w:ascii="Arial" w:hAnsi="Arial" w:cs="Arial"/>
        </w:rPr>
      </w:pPr>
    </w:p>
    <w:p w14:paraId="51E20F96" w14:textId="4F7D7A78" w:rsidR="00257FD3" w:rsidRPr="00257FD3" w:rsidRDefault="00257FD3" w:rsidP="0046209E">
      <w:pPr>
        <w:rPr>
          <w:rFonts w:ascii="Arial" w:hAnsi="Arial" w:cs="Arial"/>
          <w:b/>
          <w:bCs/>
        </w:rPr>
      </w:pPr>
      <w:r w:rsidRPr="00257FD3">
        <w:rPr>
          <w:rFonts w:ascii="Arial" w:hAnsi="Arial" w:cs="Arial"/>
          <w:b/>
          <w:bCs/>
        </w:rPr>
        <w:t>Required by Board</w:t>
      </w:r>
    </w:p>
    <w:p w14:paraId="1C7CD3E0" w14:textId="46E2C842" w:rsidR="00257FD3" w:rsidRPr="0046209E" w:rsidRDefault="004672D2" w:rsidP="0046209E">
      <w:pPr>
        <w:rPr>
          <w:rFonts w:ascii="Arial" w:hAnsi="Arial" w:cs="Arial"/>
        </w:rPr>
      </w:pPr>
      <w:r>
        <w:rPr>
          <w:rFonts w:ascii="Arial" w:hAnsi="Arial" w:cs="Arial"/>
        </w:rPr>
        <w:t>Members are asked to consider the proposal for approval.</w:t>
      </w:r>
    </w:p>
    <w:sectPr w:rsidR="00257FD3" w:rsidRPr="004620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A024" w14:textId="77777777" w:rsidR="008541C0" w:rsidRDefault="008541C0" w:rsidP="008541C0">
      <w:pPr>
        <w:spacing w:after="0" w:line="240" w:lineRule="auto"/>
      </w:pPr>
      <w:r>
        <w:separator/>
      </w:r>
    </w:p>
  </w:endnote>
  <w:endnote w:type="continuationSeparator" w:id="0">
    <w:p w14:paraId="37751446" w14:textId="77777777" w:rsidR="008541C0" w:rsidRDefault="008541C0" w:rsidP="008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642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529EE" w14:textId="390D67C8" w:rsidR="008541C0" w:rsidRDefault="00854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DC4AE" w14:textId="77777777" w:rsidR="008541C0" w:rsidRDefault="00854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1B63" w14:textId="77777777" w:rsidR="008541C0" w:rsidRDefault="008541C0" w:rsidP="008541C0">
      <w:pPr>
        <w:spacing w:after="0" w:line="240" w:lineRule="auto"/>
      </w:pPr>
      <w:r>
        <w:separator/>
      </w:r>
    </w:p>
  </w:footnote>
  <w:footnote w:type="continuationSeparator" w:id="0">
    <w:p w14:paraId="28403C39" w14:textId="77777777" w:rsidR="008541C0" w:rsidRDefault="008541C0" w:rsidP="0085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5FC8" w14:textId="2BEE6A18" w:rsidR="008541C0" w:rsidRDefault="008541C0">
    <w:pPr>
      <w:pStyle w:val="Header"/>
    </w:pPr>
    <w:r>
      <w:ptab w:relativeTo="margin" w:alignment="center" w:leader="none"/>
    </w:r>
    <w:r>
      <w:ptab w:relativeTo="margin" w:alignment="right" w:leader="none"/>
    </w:r>
    <w:r>
      <w:t>Paper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3A74"/>
    <w:multiLevelType w:val="hybridMultilevel"/>
    <w:tmpl w:val="6746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25"/>
    <w:rsid w:val="00031D0F"/>
    <w:rsid w:val="00074F93"/>
    <w:rsid w:val="00257FD3"/>
    <w:rsid w:val="0046209E"/>
    <w:rsid w:val="004672D2"/>
    <w:rsid w:val="00766D45"/>
    <w:rsid w:val="007A4972"/>
    <w:rsid w:val="00813325"/>
    <w:rsid w:val="008541C0"/>
    <w:rsid w:val="00A46469"/>
    <w:rsid w:val="00B11925"/>
    <w:rsid w:val="00B36DEC"/>
    <w:rsid w:val="00C83D04"/>
    <w:rsid w:val="00CA6E1C"/>
    <w:rsid w:val="00D77B84"/>
    <w:rsid w:val="00EF3B91"/>
    <w:rsid w:val="00F46D65"/>
    <w:rsid w:val="00F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D37E"/>
  <w15:chartTrackingRefBased/>
  <w15:docId w15:val="{4A5B768A-CC22-45F7-A3E7-FCB8B513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9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C0"/>
  </w:style>
  <w:style w:type="paragraph" w:styleId="Footer">
    <w:name w:val="footer"/>
    <w:basedOn w:val="Normal"/>
    <w:link w:val="FooterChar"/>
    <w:uiPriority w:val="99"/>
    <w:unhideWhenUsed/>
    <w:rsid w:val="00854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2025-08-22T11:51:00Z</cp:lastPrinted>
  <dcterms:created xsi:type="dcterms:W3CDTF">2025-08-22T11:54:00Z</dcterms:created>
  <dcterms:modified xsi:type="dcterms:W3CDTF">2025-08-22T11:54:00Z</dcterms:modified>
</cp:coreProperties>
</file>