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9A33B" w14:textId="1395070C" w:rsidR="00676C3E" w:rsidRDefault="006A6A31" w:rsidP="00094303">
      <w:pPr>
        <w:jc w:val="center"/>
        <w:rPr>
          <w:b/>
          <w:bCs/>
          <w:sz w:val="28"/>
          <w:szCs w:val="28"/>
          <w:u w:val="single"/>
        </w:rPr>
      </w:pPr>
      <w:r w:rsidRPr="008C5FFF">
        <w:rPr>
          <w:b/>
          <w:bCs/>
          <w:sz w:val="28"/>
          <w:szCs w:val="28"/>
          <w:u w:val="single"/>
        </w:rPr>
        <w:t>NOVALIS</w:t>
      </w:r>
      <w:r w:rsidR="00094303" w:rsidRPr="008C5FFF">
        <w:rPr>
          <w:b/>
          <w:bCs/>
          <w:sz w:val="28"/>
          <w:szCs w:val="28"/>
          <w:u w:val="single"/>
        </w:rPr>
        <w:t xml:space="preserve"> 5 YEAR PLAN</w:t>
      </w:r>
    </w:p>
    <w:p w14:paraId="45AAAD88" w14:textId="77777777" w:rsidR="008C5FFF" w:rsidRDefault="008C5FFF" w:rsidP="00094303">
      <w:pPr>
        <w:jc w:val="center"/>
        <w:rPr>
          <w:b/>
          <w:bCs/>
          <w:sz w:val="28"/>
          <w:szCs w:val="28"/>
          <w:u w:val="single"/>
        </w:rPr>
      </w:pPr>
    </w:p>
    <w:p w14:paraId="2EF88BCA" w14:textId="60CFEA11" w:rsidR="008C5FFF" w:rsidRDefault="008C5FFF" w:rsidP="00094303">
      <w:pPr>
        <w:jc w:val="center"/>
        <w:rPr>
          <w:b/>
          <w:bCs/>
          <w:sz w:val="28"/>
          <w:szCs w:val="28"/>
          <w:u w:val="single"/>
        </w:rPr>
      </w:pPr>
      <w:r>
        <w:rPr>
          <w:noProof/>
        </w:rPr>
        <w:drawing>
          <wp:inline distT="0" distB="0" distL="0" distR="0" wp14:anchorId="23536804" wp14:editId="6F5B3398">
            <wp:extent cx="6205858" cy="3419475"/>
            <wp:effectExtent l="0" t="0" r="4445" b="0"/>
            <wp:docPr id="897576405" name="Picture 1" descr="A building surrounded by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76405" name="Picture 1" descr="A building surrounded by tre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42162" cy="3439479"/>
                    </a:xfrm>
                    <a:prstGeom prst="rect">
                      <a:avLst/>
                    </a:prstGeom>
                    <a:noFill/>
                    <a:ln>
                      <a:noFill/>
                    </a:ln>
                  </pic:spPr>
                </pic:pic>
              </a:graphicData>
            </a:graphic>
          </wp:inline>
        </w:drawing>
      </w:r>
    </w:p>
    <w:p w14:paraId="73B0B2CD" w14:textId="42925122" w:rsidR="008C5FFF" w:rsidRDefault="008C5FFF" w:rsidP="00094303">
      <w:pPr>
        <w:jc w:val="center"/>
        <w:rPr>
          <w:b/>
          <w:bCs/>
          <w:sz w:val="28"/>
          <w:szCs w:val="28"/>
          <w:u w:val="single"/>
        </w:rPr>
      </w:pPr>
    </w:p>
    <w:p w14:paraId="7E5A73FD" w14:textId="77777777" w:rsidR="008C5FFF" w:rsidRPr="00D6510D" w:rsidRDefault="008C5FFF" w:rsidP="008C5FFF">
      <w:pPr>
        <w:rPr>
          <w:rFonts w:ascii="Arial" w:hAnsi="Arial" w:cs="Arial"/>
          <w:sz w:val="24"/>
          <w:szCs w:val="24"/>
        </w:rPr>
      </w:pPr>
      <w:r w:rsidRPr="00D6510D">
        <w:rPr>
          <w:rFonts w:ascii="Arial" w:hAnsi="Arial" w:cs="Arial"/>
          <w:sz w:val="24"/>
          <w:szCs w:val="24"/>
        </w:rPr>
        <w:t>Novalis is a 2-storey detached property built in 1999. It is 442 square metres (c. 4,800 sq. ft), and has 12 bedrooms, 4 bathrooms plus an additional 2 toilets. It currently houses 6 residents.</w:t>
      </w:r>
    </w:p>
    <w:p w14:paraId="52434DC9" w14:textId="77777777" w:rsidR="008C5FFF" w:rsidRDefault="008C5FFF" w:rsidP="008C5FFF">
      <w:pPr>
        <w:rPr>
          <w:b/>
          <w:bCs/>
          <w:sz w:val="28"/>
          <w:szCs w:val="28"/>
          <w:u w:val="single"/>
        </w:rPr>
      </w:pPr>
    </w:p>
    <w:p w14:paraId="78C4B6FA" w14:textId="6F20A413" w:rsidR="00094303" w:rsidRPr="008C5FFF" w:rsidRDefault="00094303" w:rsidP="008C5FFF">
      <w:pPr>
        <w:rPr>
          <w:b/>
          <w:bCs/>
          <w:sz w:val="28"/>
          <w:szCs w:val="28"/>
          <w:u w:val="single"/>
        </w:rPr>
      </w:pPr>
      <w:r w:rsidRPr="008C5FFF">
        <w:rPr>
          <w:b/>
          <w:bCs/>
          <w:sz w:val="28"/>
          <w:szCs w:val="28"/>
          <w:u w:val="single"/>
        </w:rPr>
        <w:t xml:space="preserve">EPC </w:t>
      </w:r>
    </w:p>
    <w:p w14:paraId="38BBC679" w14:textId="77777777" w:rsidR="00FC7A26" w:rsidRDefault="00FC7A26" w:rsidP="00FC7A26">
      <w:pPr>
        <w:jc w:val="center"/>
        <w:rPr>
          <w:b/>
          <w:bCs/>
          <w:u w:val="single"/>
        </w:rPr>
      </w:pPr>
    </w:p>
    <w:p w14:paraId="2AEDD372" w14:textId="731B7972" w:rsidR="008C5FFF" w:rsidRPr="008C5FFF" w:rsidRDefault="008C5FFF" w:rsidP="008C5FFF">
      <w:pPr>
        <w:jc w:val="center"/>
        <w:rPr>
          <w:b/>
          <w:bCs/>
          <w:u w:val="single"/>
        </w:rPr>
      </w:pPr>
      <w:r>
        <w:rPr>
          <w:noProof/>
        </w:rPr>
        <w:drawing>
          <wp:inline distT="0" distB="0" distL="0" distR="0" wp14:anchorId="74A3DB28" wp14:editId="556A8920">
            <wp:extent cx="4162425" cy="2535916"/>
            <wp:effectExtent l="0" t="0" r="0" b="0"/>
            <wp:docPr id="902693349" name="Picture 3" descr="A chart of energy efficienc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93349" name="Picture 3" descr="A chart of energy efficiency&#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9887" cy="2546555"/>
                    </a:xfrm>
                    <a:prstGeom prst="rect">
                      <a:avLst/>
                    </a:prstGeom>
                    <a:noFill/>
                    <a:ln>
                      <a:noFill/>
                    </a:ln>
                  </pic:spPr>
                </pic:pic>
              </a:graphicData>
            </a:graphic>
          </wp:inline>
        </w:drawing>
      </w:r>
    </w:p>
    <w:p w14:paraId="46679D38" w14:textId="69C890AB" w:rsidR="00D6510D" w:rsidRPr="00D6510D" w:rsidRDefault="00094303" w:rsidP="00094303">
      <w:pPr>
        <w:rPr>
          <w:rFonts w:ascii="Arial" w:hAnsi="Arial" w:cs="Arial"/>
          <w:sz w:val="24"/>
          <w:szCs w:val="24"/>
        </w:rPr>
      </w:pPr>
      <w:r w:rsidRPr="00D6510D">
        <w:rPr>
          <w:rFonts w:ascii="Arial" w:hAnsi="Arial" w:cs="Arial"/>
          <w:sz w:val="24"/>
          <w:szCs w:val="24"/>
        </w:rPr>
        <w:lastRenderedPageBreak/>
        <w:t>The EPC rating of the house is currently at g</w:t>
      </w:r>
      <w:r w:rsidR="00C53398" w:rsidRPr="00D6510D">
        <w:rPr>
          <w:rFonts w:ascii="Arial" w:hAnsi="Arial" w:cs="Arial"/>
          <w:sz w:val="24"/>
          <w:szCs w:val="24"/>
        </w:rPr>
        <w:t xml:space="preserve">rade </w:t>
      </w:r>
      <w:r w:rsidR="000D3FE3" w:rsidRPr="00D6510D">
        <w:rPr>
          <w:rFonts w:ascii="Arial" w:hAnsi="Arial" w:cs="Arial"/>
          <w:sz w:val="24"/>
          <w:szCs w:val="24"/>
        </w:rPr>
        <w:t>D</w:t>
      </w:r>
      <w:r w:rsidR="00C53398" w:rsidRPr="00D6510D">
        <w:rPr>
          <w:rFonts w:ascii="Arial" w:hAnsi="Arial" w:cs="Arial"/>
          <w:sz w:val="24"/>
          <w:szCs w:val="24"/>
        </w:rPr>
        <w:t xml:space="preserve">, which is </w:t>
      </w:r>
      <w:r w:rsidR="000D3FE3" w:rsidRPr="00D6510D">
        <w:rPr>
          <w:rFonts w:ascii="Arial" w:hAnsi="Arial" w:cs="Arial"/>
          <w:sz w:val="24"/>
          <w:szCs w:val="24"/>
        </w:rPr>
        <w:t>in line with</w:t>
      </w:r>
      <w:r w:rsidR="00C53398" w:rsidRPr="00D6510D">
        <w:rPr>
          <w:rFonts w:ascii="Arial" w:hAnsi="Arial" w:cs="Arial"/>
          <w:sz w:val="24"/>
          <w:szCs w:val="24"/>
        </w:rPr>
        <w:t xml:space="preserve"> the average rating for Northern Ireland. </w:t>
      </w:r>
      <w:r w:rsidR="00D6510D" w:rsidRPr="00D6510D">
        <w:rPr>
          <w:rFonts w:ascii="Arial" w:hAnsi="Arial" w:cs="Arial"/>
          <w:sz w:val="24"/>
          <w:szCs w:val="24"/>
        </w:rPr>
        <w:t>The potential rating is C, and this can be achieved by implementing the recommendations set out in the EPC survey which were also recommended in the stock condition survey carried out by Moore MacDonald</w:t>
      </w:r>
      <w:r w:rsidR="00D6510D" w:rsidRPr="00D6510D">
        <w:rPr>
          <w:rFonts w:ascii="Arial" w:hAnsi="Arial" w:cs="Arial"/>
          <w:sz w:val="24"/>
          <w:szCs w:val="24"/>
        </w:rPr>
        <w:t xml:space="preserve">. </w:t>
      </w:r>
    </w:p>
    <w:p w14:paraId="02B1B7C9" w14:textId="77777777" w:rsidR="00D6510D" w:rsidRPr="00D6510D" w:rsidRDefault="00D6510D" w:rsidP="00D6510D">
      <w:pPr>
        <w:rPr>
          <w:rFonts w:ascii="Arial" w:hAnsi="Arial" w:cs="Arial"/>
          <w:sz w:val="24"/>
          <w:szCs w:val="24"/>
        </w:rPr>
      </w:pPr>
      <w:r w:rsidRPr="00D6510D">
        <w:rPr>
          <w:rFonts w:ascii="Arial" w:hAnsi="Arial" w:cs="Arial"/>
          <w:sz w:val="24"/>
          <w:szCs w:val="24"/>
        </w:rPr>
        <w:t xml:space="preserve">The EPC recommendations include upgrading windows and external doors, upgrading loft insulation and replacing the existing boiler with a more modern, energy efficient type. </w:t>
      </w:r>
    </w:p>
    <w:p w14:paraId="7D5665F6" w14:textId="77777777" w:rsidR="008C5FFF" w:rsidRDefault="008C5FFF" w:rsidP="00094303"/>
    <w:p w14:paraId="5075CC8F" w14:textId="5A1D0402" w:rsidR="00095BB3" w:rsidRDefault="008C5FFF" w:rsidP="000D3FE3">
      <w:pPr>
        <w:rPr>
          <w:b/>
          <w:bCs/>
          <w:sz w:val="28"/>
          <w:szCs w:val="28"/>
          <w:u w:val="single"/>
        </w:rPr>
      </w:pPr>
      <w:r w:rsidRPr="008C5FFF">
        <w:rPr>
          <w:b/>
          <w:bCs/>
          <w:sz w:val="28"/>
          <w:szCs w:val="28"/>
          <w:u w:val="single"/>
        </w:rPr>
        <w:t>5 Year Plan</w:t>
      </w:r>
    </w:p>
    <w:p w14:paraId="0F4BB02E" w14:textId="1AA22932" w:rsidR="008C5FFF" w:rsidRPr="00D6510D" w:rsidRDefault="008C5FFF" w:rsidP="000D3FE3">
      <w:pPr>
        <w:rPr>
          <w:rFonts w:ascii="Arial" w:hAnsi="Arial" w:cs="Arial"/>
          <w:sz w:val="24"/>
          <w:szCs w:val="24"/>
        </w:rPr>
      </w:pPr>
      <w:r w:rsidRPr="00D6510D">
        <w:rPr>
          <w:rFonts w:ascii="Arial" w:hAnsi="Arial" w:cs="Arial"/>
          <w:sz w:val="24"/>
          <w:szCs w:val="24"/>
        </w:rPr>
        <w:t>The proposed 5-year plan refers to the following:</w:t>
      </w:r>
    </w:p>
    <w:p w14:paraId="0A5E7FF1" w14:textId="487F1AEB" w:rsidR="008C5FFF" w:rsidRPr="00D6510D" w:rsidRDefault="008C5FFF" w:rsidP="008C5FFF">
      <w:pPr>
        <w:pStyle w:val="ListParagraph"/>
        <w:numPr>
          <w:ilvl w:val="0"/>
          <w:numId w:val="6"/>
        </w:numPr>
        <w:rPr>
          <w:rFonts w:ascii="Arial" w:hAnsi="Arial" w:cs="Arial"/>
          <w:sz w:val="24"/>
          <w:szCs w:val="24"/>
        </w:rPr>
      </w:pPr>
      <w:r w:rsidRPr="00D6510D">
        <w:rPr>
          <w:rFonts w:ascii="Arial" w:hAnsi="Arial" w:cs="Arial"/>
          <w:sz w:val="24"/>
          <w:szCs w:val="24"/>
        </w:rPr>
        <w:t>Stock Condition Survey 2024</w:t>
      </w:r>
    </w:p>
    <w:p w14:paraId="44FD6C93" w14:textId="5112CC19" w:rsidR="008C5FFF" w:rsidRPr="00D6510D" w:rsidRDefault="008C5FFF" w:rsidP="008C5FFF">
      <w:pPr>
        <w:pStyle w:val="ListParagraph"/>
        <w:numPr>
          <w:ilvl w:val="0"/>
          <w:numId w:val="6"/>
        </w:numPr>
        <w:rPr>
          <w:rFonts w:ascii="Arial" w:hAnsi="Arial" w:cs="Arial"/>
          <w:sz w:val="24"/>
          <w:szCs w:val="24"/>
        </w:rPr>
      </w:pPr>
      <w:r w:rsidRPr="00D6510D">
        <w:rPr>
          <w:rFonts w:ascii="Arial" w:hAnsi="Arial" w:cs="Arial"/>
          <w:sz w:val="24"/>
          <w:szCs w:val="24"/>
        </w:rPr>
        <w:t>Results of EPC ratings</w:t>
      </w:r>
    </w:p>
    <w:p w14:paraId="23FA49D7" w14:textId="7A302DBC" w:rsidR="008C5FFF" w:rsidRPr="00D6510D" w:rsidRDefault="008C5FFF" w:rsidP="008C5FFF">
      <w:pPr>
        <w:pStyle w:val="ListParagraph"/>
        <w:numPr>
          <w:ilvl w:val="0"/>
          <w:numId w:val="6"/>
        </w:numPr>
        <w:rPr>
          <w:rFonts w:ascii="Arial" w:hAnsi="Arial" w:cs="Arial"/>
          <w:sz w:val="24"/>
          <w:szCs w:val="24"/>
        </w:rPr>
      </w:pPr>
      <w:r w:rsidRPr="00D6510D">
        <w:rPr>
          <w:rFonts w:ascii="Arial" w:hAnsi="Arial" w:cs="Arial"/>
          <w:sz w:val="24"/>
          <w:szCs w:val="24"/>
        </w:rPr>
        <w:t>Annual CHA staff stock condition review</w:t>
      </w:r>
    </w:p>
    <w:p w14:paraId="2A83C76B" w14:textId="2C67FC2D" w:rsidR="008C5FFF" w:rsidRPr="00D6510D" w:rsidRDefault="008C5FFF" w:rsidP="008C5FFF">
      <w:pPr>
        <w:pStyle w:val="ListParagraph"/>
        <w:numPr>
          <w:ilvl w:val="0"/>
          <w:numId w:val="6"/>
        </w:numPr>
        <w:rPr>
          <w:rFonts w:ascii="Arial" w:hAnsi="Arial" w:cs="Arial"/>
          <w:sz w:val="24"/>
          <w:szCs w:val="24"/>
        </w:rPr>
      </w:pPr>
      <w:r w:rsidRPr="00D6510D">
        <w:rPr>
          <w:rFonts w:ascii="Arial" w:hAnsi="Arial" w:cs="Arial"/>
          <w:sz w:val="24"/>
          <w:szCs w:val="24"/>
        </w:rPr>
        <w:t>Discussions with residents and care staff</w:t>
      </w:r>
    </w:p>
    <w:p w14:paraId="34331888" w14:textId="77777777" w:rsidR="008C5FFF" w:rsidRPr="00D6510D" w:rsidRDefault="008C5FFF" w:rsidP="008C5FFF">
      <w:pPr>
        <w:rPr>
          <w:rFonts w:ascii="Arial" w:hAnsi="Arial" w:cs="Arial"/>
        </w:rPr>
      </w:pPr>
    </w:p>
    <w:tbl>
      <w:tblPr>
        <w:tblStyle w:val="TableGrid"/>
        <w:tblpPr w:leftFromText="180" w:rightFromText="180" w:vertAnchor="text" w:horzAnchor="margin" w:tblpY="-31"/>
        <w:tblW w:w="9067" w:type="dxa"/>
        <w:tblLook w:val="04A0" w:firstRow="1" w:lastRow="0" w:firstColumn="1" w:lastColumn="0" w:noHBand="0" w:noVBand="1"/>
      </w:tblPr>
      <w:tblGrid>
        <w:gridCol w:w="767"/>
        <w:gridCol w:w="6032"/>
        <w:gridCol w:w="2268"/>
      </w:tblGrid>
      <w:tr w:rsidR="008C5FFF" w14:paraId="7CE29EDD" w14:textId="77777777" w:rsidTr="008C5FFF">
        <w:tc>
          <w:tcPr>
            <w:tcW w:w="767" w:type="dxa"/>
          </w:tcPr>
          <w:p w14:paraId="7F92C7B1" w14:textId="77777777" w:rsidR="008C5FFF" w:rsidRDefault="008C5FFF" w:rsidP="007A2AB9">
            <w:pPr>
              <w:jc w:val="center"/>
              <w:rPr>
                <w:b/>
                <w:bCs/>
                <w:u w:val="single"/>
              </w:rPr>
            </w:pPr>
            <w:r>
              <w:rPr>
                <w:b/>
                <w:bCs/>
                <w:u w:val="single"/>
              </w:rPr>
              <w:t>YEAR</w:t>
            </w:r>
          </w:p>
        </w:tc>
        <w:tc>
          <w:tcPr>
            <w:tcW w:w="6032" w:type="dxa"/>
          </w:tcPr>
          <w:p w14:paraId="3D03C73D" w14:textId="77777777" w:rsidR="008C5FFF" w:rsidRDefault="008C5FFF" w:rsidP="007A2AB9">
            <w:pPr>
              <w:jc w:val="center"/>
              <w:rPr>
                <w:b/>
                <w:bCs/>
                <w:u w:val="single"/>
              </w:rPr>
            </w:pPr>
            <w:r>
              <w:rPr>
                <w:b/>
                <w:bCs/>
                <w:u w:val="single"/>
              </w:rPr>
              <w:t>DESCRIPTION OF WORKS</w:t>
            </w:r>
          </w:p>
        </w:tc>
        <w:tc>
          <w:tcPr>
            <w:tcW w:w="2268" w:type="dxa"/>
          </w:tcPr>
          <w:p w14:paraId="60165CE1" w14:textId="77777777" w:rsidR="008C5FFF" w:rsidRDefault="008C5FFF" w:rsidP="007A2AB9">
            <w:pPr>
              <w:jc w:val="center"/>
              <w:rPr>
                <w:b/>
                <w:bCs/>
                <w:u w:val="single"/>
              </w:rPr>
            </w:pPr>
            <w:r>
              <w:rPr>
                <w:b/>
                <w:bCs/>
                <w:u w:val="single"/>
              </w:rPr>
              <w:t>COST ESTIMATE</w:t>
            </w:r>
          </w:p>
        </w:tc>
      </w:tr>
      <w:tr w:rsidR="008C5FFF" w14:paraId="72877A39" w14:textId="77777777" w:rsidTr="008C5FFF">
        <w:trPr>
          <w:trHeight w:val="567"/>
        </w:trPr>
        <w:tc>
          <w:tcPr>
            <w:tcW w:w="767" w:type="dxa"/>
          </w:tcPr>
          <w:p w14:paraId="1CF585FD" w14:textId="77777777" w:rsidR="008C5FFF" w:rsidRPr="0054481D" w:rsidRDefault="008C5FFF" w:rsidP="007A2AB9">
            <w:pPr>
              <w:jc w:val="center"/>
              <w:rPr>
                <w:b/>
                <w:bCs/>
              </w:rPr>
            </w:pPr>
            <w:r w:rsidRPr="0054481D">
              <w:rPr>
                <w:b/>
                <w:bCs/>
              </w:rPr>
              <w:t>1</w:t>
            </w:r>
          </w:p>
        </w:tc>
        <w:tc>
          <w:tcPr>
            <w:tcW w:w="6032" w:type="dxa"/>
          </w:tcPr>
          <w:p w14:paraId="1221FE93" w14:textId="0CC2680A" w:rsidR="008C5FFF" w:rsidRPr="00D6510D" w:rsidRDefault="008C5FFF" w:rsidP="007A2AB9">
            <w:pPr>
              <w:jc w:val="center"/>
              <w:rPr>
                <w:rFonts w:ascii="Arial" w:hAnsi="Arial" w:cs="Arial"/>
                <w:sz w:val="24"/>
                <w:szCs w:val="24"/>
              </w:rPr>
            </w:pPr>
            <w:r w:rsidRPr="00D6510D">
              <w:rPr>
                <w:rFonts w:ascii="Arial" w:hAnsi="Arial" w:cs="Arial"/>
                <w:sz w:val="24"/>
                <w:szCs w:val="24"/>
              </w:rPr>
              <w:t>Upgrade bathroom</w:t>
            </w:r>
          </w:p>
        </w:tc>
        <w:tc>
          <w:tcPr>
            <w:tcW w:w="2268" w:type="dxa"/>
          </w:tcPr>
          <w:p w14:paraId="75BE27FC" w14:textId="4D10DA95" w:rsidR="008C5FFF" w:rsidRPr="00D6510D" w:rsidRDefault="008C5FFF" w:rsidP="007A2AB9">
            <w:pPr>
              <w:jc w:val="center"/>
              <w:rPr>
                <w:rFonts w:ascii="Arial" w:hAnsi="Arial" w:cs="Arial"/>
                <w:sz w:val="24"/>
                <w:szCs w:val="24"/>
              </w:rPr>
            </w:pPr>
            <w:r w:rsidRPr="00D6510D">
              <w:rPr>
                <w:rFonts w:ascii="Arial" w:hAnsi="Arial" w:cs="Arial"/>
                <w:sz w:val="24"/>
                <w:szCs w:val="24"/>
              </w:rPr>
              <w:t>£8,500</w:t>
            </w:r>
          </w:p>
        </w:tc>
      </w:tr>
      <w:tr w:rsidR="008C5FFF" w14:paraId="5A314989" w14:textId="77777777" w:rsidTr="008C5FFF">
        <w:trPr>
          <w:cantSplit/>
          <w:trHeight w:hRule="exact" w:val="57"/>
        </w:trPr>
        <w:tc>
          <w:tcPr>
            <w:tcW w:w="767" w:type="dxa"/>
          </w:tcPr>
          <w:p w14:paraId="7F407ECC" w14:textId="77777777" w:rsidR="008C5FFF" w:rsidRPr="0054481D" w:rsidRDefault="008C5FFF" w:rsidP="007A2AB9">
            <w:pPr>
              <w:jc w:val="center"/>
              <w:rPr>
                <w:b/>
                <w:bCs/>
              </w:rPr>
            </w:pPr>
          </w:p>
        </w:tc>
        <w:tc>
          <w:tcPr>
            <w:tcW w:w="6032" w:type="dxa"/>
          </w:tcPr>
          <w:p w14:paraId="684D583C" w14:textId="77777777" w:rsidR="008C5FFF" w:rsidRPr="00D6510D" w:rsidRDefault="008C5FFF" w:rsidP="007A2AB9">
            <w:pPr>
              <w:jc w:val="center"/>
              <w:rPr>
                <w:rFonts w:ascii="Arial" w:hAnsi="Arial" w:cs="Arial"/>
                <w:sz w:val="24"/>
                <w:szCs w:val="24"/>
              </w:rPr>
            </w:pPr>
          </w:p>
        </w:tc>
        <w:tc>
          <w:tcPr>
            <w:tcW w:w="2268" w:type="dxa"/>
          </w:tcPr>
          <w:p w14:paraId="7A3EE703" w14:textId="77777777" w:rsidR="008C5FFF" w:rsidRPr="00D6510D" w:rsidRDefault="008C5FFF" w:rsidP="007A2AB9">
            <w:pPr>
              <w:jc w:val="center"/>
              <w:rPr>
                <w:rFonts w:ascii="Arial" w:hAnsi="Arial" w:cs="Arial"/>
                <w:sz w:val="24"/>
                <w:szCs w:val="24"/>
              </w:rPr>
            </w:pPr>
          </w:p>
        </w:tc>
      </w:tr>
      <w:tr w:rsidR="008C5FFF" w14:paraId="7232D281" w14:textId="77777777" w:rsidTr="008C5FFF">
        <w:trPr>
          <w:trHeight w:val="567"/>
        </w:trPr>
        <w:tc>
          <w:tcPr>
            <w:tcW w:w="767" w:type="dxa"/>
          </w:tcPr>
          <w:p w14:paraId="5268CE73" w14:textId="77777777" w:rsidR="008C5FFF" w:rsidRPr="0054481D" w:rsidRDefault="008C5FFF" w:rsidP="007A2AB9">
            <w:pPr>
              <w:jc w:val="center"/>
              <w:rPr>
                <w:b/>
                <w:bCs/>
              </w:rPr>
            </w:pPr>
            <w:r>
              <w:rPr>
                <w:b/>
                <w:bCs/>
              </w:rPr>
              <w:t>2</w:t>
            </w:r>
          </w:p>
        </w:tc>
        <w:tc>
          <w:tcPr>
            <w:tcW w:w="6032" w:type="dxa"/>
          </w:tcPr>
          <w:p w14:paraId="19C4E16E" w14:textId="7418F933" w:rsidR="008C5FFF" w:rsidRPr="00D6510D" w:rsidRDefault="008C5FFF" w:rsidP="007A2AB9">
            <w:pPr>
              <w:jc w:val="center"/>
              <w:rPr>
                <w:rFonts w:ascii="Arial" w:hAnsi="Arial" w:cs="Arial"/>
                <w:sz w:val="24"/>
                <w:szCs w:val="24"/>
              </w:rPr>
            </w:pPr>
            <w:r w:rsidRPr="00D6510D">
              <w:rPr>
                <w:rFonts w:ascii="Arial" w:hAnsi="Arial" w:cs="Arial"/>
                <w:sz w:val="24"/>
                <w:szCs w:val="24"/>
              </w:rPr>
              <w:t>Loft insulation upgrade</w:t>
            </w:r>
          </w:p>
        </w:tc>
        <w:tc>
          <w:tcPr>
            <w:tcW w:w="2268" w:type="dxa"/>
          </w:tcPr>
          <w:p w14:paraId="3EDEF0CC" w14:textId="0BAF801E" w:rsidR="008C5FFF" w:rsidRPr="00D6510D" w:rsidRDefault="008C5FFF" w:rsidP="007A2AB9">
            <w:pPr>
              <w:jc w:val="center"/>
              <w:rPr>
                <w:rFonts w:ascii="Arial" w:hAnsi="Arial" w:cs="Arial"/>
                <w:sz w:val="24"/>
                <w:szCs w:val="24"/>
              </w:rPr>
            </w:pPr>
            <w:r w:rsidRPr="00D6510D">
              <w:rPr>
                <w:rFonts w:ascii="Arial" w:hAnsi="Arial" w:cs="Arial"/>
                <w:sz w:val="24"/>
                <w:szCs w:val="24"/>
              </w:rPr>
              <w:t>£3,000</w:t>
            </w:r>
          </w:p>
        </w:tc>
      </w:tr>
      <w:tr w:rsidR="008C5FFF" w14:paraId="6BDC2E6A" w14:textId="77777777" w:rsidTr="008C5FFF">
        <w:trPr>
          <w:cantSplit/>
          <w:trHeight w:hRule="exact" w:val="57"/>
        </w:trPr>
        <w:tc>
          <w:tcPr>
            <w:tcW w:w="767" w:type="dxa"/>
          </w:tcPr>
          <w:p w14:paraId="22C29301" w14:textId="77777777" w:rsidR="008C5FFF" w:rsidRDefault="008C5FFF" w:rsidP="007A2AB9">
            <w:pPr>
              <w:jc w:val="center"/>
              <w:rPr>
                <w:b/>
                <w:bCs/>
                <w:u w:val="single"/>
              </w:rPr>
            </w:pPr>
          </w:p>
        </w:tc>
        <w:tc>
          <w:tcPr>
            <w:tcW w:w="6032" w:type="dxa"/>
          </w:tcPr>
          <w:p w14:paraId="1D8E55D2" w14:textId="77777777" w:rsidR="008C5FFF" w:rsidRPr="00D6510D" w:rsidRDefault="008C5FFF" w:rsidP="007A2AB9">
            <w:pPr>
              <w:jc w:val="center"/>
              <w:rPr>
                <w:rFonts w:ascii="Arial" w:hAnsi="Arial" w:cs="Arial"/>
                <w:b/>
                <w:bCs/>
                <w:sz w:val="24"/>
                <w:szCs w:val="24"/>
                <w:u w:val="single"/>
              </w:rPr>
            </w:pPr>
          </w:p>
        </w:tc>
        <w:tc>
          <w:tcPr>
            <w:tcW w:w="2268" w:type="dxa"/>
          </w:tcPr>
          <w:p w14:paraId="40D10212" w14:textId="77777777" w:rsidR="008C5FFF" w:rsidRPr="00D6510D" w:rsidRDefault="008C5FFF" w:rsidP="007A2AB9">
            <w:pPr>
              <w:jc w:val="center"/>
              <w:rPr>
                <w:rFonts w:ascii="Arial" w:hAnsi="Arial" w:cs="Arial"/>
                <w:b/>
                <w:bCs/>
                <w:sz w:val="24"/>
                <w:szCs w:val="24"/>
                <w:u w:val="single"/>
              </w:rPr>
            </w:pPr>
          </w:p>
        </w:tc>
      </w:tr>
      <w:tr w:rsidR="008C5FFF" w14:paraId="6956264F" w14:textId="77777777" w:rsidTr="008C5FFF">
        <w:trPr>
          <w:trHeight w:val="567"/>
        </w:trPr>
        <w:tc>
          <w:tcPr>
            <w:tcW w:w="767" w:type="dxa"/>
          </w:tcPr>
          <w:p w14:paraId="78ED77BD" w14:textId="0D18A028" w:rsidR="008C5FFF" w:rsidRPr="0054481D" w:rsidRDefault="008C5FFF" w:rsidP="007A2AB9">
            <w:pPr>
              <w:jc w:val="center"/>
              <w:rPr>
                <w:b/>
                <w:bCs/>
              </w:rPr>
            </w:pPr>
            <w:r>
              <w:rPr>
                <w:b/>
                <w:bCs/>
              </w:rPr>
              <w:t>2</w:t>
            </w:r>
          </w:p>
        </w:tc>
        <w:tc>
          <w:tcPr>
            <w:tcW w:w="6032" w:type="dxa"/>
          </w:tcPr>
          <w:p w14:paraId="491788C4" w14:textId="05B6B007" w:rsidR="008C5FFF" w:rsidRPr="00D6510D" w:rsidRDefault="008C5FFF" w:rsidP="007A2AB9">
            <w:pPr>
              <w:jc w:val="center"/>
              <w:rPr>
                <w:rFonts w:ascii="Arial" w:hAnsi="Arial" w:cs="Arial"/>
                <w:sz w:val="24"/>
                <w:szCs w:val="24"/>
              </w:rPr>
            </w:pPr>
            <w:r w:rsidRPr="00D6510D">
              <w:rPr>
                <w:rFonts w:ascii="Arial" w:hAnsi="Arial" w:cs="Arial"/>
                <w:sz w:val="24"/>
                <w:szCs w:val="24"/>
              </w:rPr>
              <w:t>Upgrade existing timber windows and doors to UPVC</w:t>
            </w:r>
          </w:p>
        </w:tc>
        <w:tc>
          <w:tcPr>
            <w:tcW w:w="2268" w:type="dxa"/>
          </w:tcPr>
          <w:p w14:paraId="7B40D7B2" w14:textId="7F3672F8" w:rsidR="008C5FFF" w:rsidRPr="00D6510D" w:rsidRDefault="008C5FFF" w:rsidP="007A2AB9">
            <w:pPr>
              <w:jc w:val="center"/>
              <w:rPr>
                <w:rFonts w:ascii="Arial" w:hAnsi="Arial" w:cs="Arial"/>
                <w:sz w:val="24"/>
                <w:szCs w:val="24"/>
              </w:rPr>
            </w:pPr>
            <w:r w:rsidRPr="00D6510D">
              <w:rPr>
                <w:rFonts w:ascii="Arial" w:hAnsi="Arial" w:cs="Arial"/>
                <w:sz w:val="24"/>
                <w:szCs w:val="24"/>
              </w:rPr>
              <w:t>£70,000</w:t>
            </w:r>
          </w:p>
        </w:tc>
      </w:tr>
      <w:tr w:rsidR="008C5FFF" w14:paraId="149AECA7" w14:textId="77777777" w:rsidTr="008C5FFF">
        <w:trPr>
          <w:cantSplit/>
          <w:trHeight w:hRule="exact" w:val="57"/>
        </w:trPr>
        <w:tc>
          <w:tcPr>
            <w:tcW w:w="767" w:type="dxa"/>
          </w:tcPr>
          <w:p w14:paraId="29088835" w14:textId="77777777" w:rsidR="008C5FFF" w:rsidRDefault="008C5FFF" w:rsidP="007A2AB9">
            <w:pPr>
              <w:jc w:val="center"/>
              <w:rPr>
                <w:b/>
                <w:bCs/>
              </w:rPr>
            </w:pPr>
          </w:p>
        </w:tc>
        <w:tc>
          <w:tcPr>
            <w:tcW w:w="6032" w:type="dxa"/>
          </w:tcPr>
          <w:p w14:paraId="475E2096" w14:textId="77777777" w:rsidR="008C5FFF" w:rsidRPr="00D6510D" w:rsidRDefault="008C5FFF" w:rsidP="007A2AB9">
            <w:pPr>
              <w:jc w:val="center"/>
              <w:rPr>
                <w:rFonts w:ascii="Arial" w:hAnsi="Arial" w:cs="Arial"/>
                <w:b/>
                <w:bCs/>
                <w:sz w:val="24"/>
                <w:szCs w:val="24"/>
                <w:u w:val="single"/>
              </w:rPr>
            </w:pPr>
          </w:p>
        </w:tc>
        <w:tc>
          <w:tcPr>
            <w:tcW w:w="2268" w:type="dxa"/>
          </w:tcPr>
          <w:p w14:paraId="1B7B37BA" w14:textId="77777777" w:rsidR="008C5FFF" w:rsidRPr="00D6510D" w:rsidRDefault="008C5FFF" w:rsidP="007A2AB9">
            <w:pPr>
              <w:jc w:val="center"/>
              <w:rPr>
                <w:rFonts w:ascii="Arial" w:hAnsi="Arial" w:cs="Arial"/>
                <w:b/>
                <w:bCs/>
                <w:sz w:val="24"/>
                <w:szCs w:val="24"/>
                <w:u w:val="single"/>
              </w:rPr>
            </w:pPr>
          </w:p>
        </w:tc>
      </w:tr>
      <w:tr w:rsidR="008C5FFF" w14:paraId="61393D6B" w14:textId="77777777" w:rsidTr="008C5FFF">
        <w:trPr>
          <w:trHeight w:val="567"/>
        </w:trPr>
        <w:tc>
          <w:tcPr>
            <w:tcW w:w="767" w:type="dxa"/>
          </w:tcPr>
          <w:p w14:paraId="16759072" w14:textId="77777777" w:rsidR="008C5FFF" w:rsidRPr="0054481D" w:rsidRDefault="008C5FFF" w:rsidP="007A2AB9">
            <w:pPr>
              <w:jc w:val="center"/>
              <w:rPr>
                <w:b/>
                <w:bCs/>
              </w:rPr>
            </w:pPr>
            <w:r>
              <w:rPr>
                <w:b/>
                <w:bCs/>
              </w:rPr>
              <w:t>3</w:t>
            </w:r>
          </w:p>
        </w:tc>
        <w:tc>
          <w:tcPr>
            <w:tcW w:w="6032" w:type="dxa"/>
          </w:tcPr>
          <w:p w14:paraId="37332DB9" w14:textId="3E5A1217" w:rsidR="008C5FFF" w:rsidRPr="00D6510D" w:rsidRDefault="008C5FFF" w:rsidP="007A2AB9">
            <w:pPr>
              <w:jc w:val="center"/>
              <w:rPr>
                <w:rFonts w:ascii="Arial" w:hAnsi="Arial" w:cs="Arial"/>
                <w:sz w:val="24"/>
                <w:szCs w:val="24"/>
              </w:rPr>
            </w:pPr>
            <w:r w:rsidRPr="00D6510D">
              <w:rPr>
                <w:rFonts w:ascii="Arial" w:hAnsi="Arial" w:cs="Arial"/>
                <w:sz w:val="24"/>
                <w:szCs w:val="24"/>
              </w:rPr>
              <w:t>Redecoration of internal communal areas</w:t>
            </w:r>
          </w:p>
        </w:tc>
        <w:tc>
          <w:tcPr>
            <w:tcW w:w="2268" w:type="dxa"/>
          </w:tcPr>
          <w:p w14:paraId="2CE6697F" w14:textId="3C3BD9FE" w:rsidR="008C5FFF" w:rsidRPr="00D6510D" w:rsidRDefault="008C5FFF" w:rsidP="007A2AB9">
            <w:pPr>
              <w:jc w:val="center"/>
              <w:rPr>
                <w:rFonts w:ascii="Arial" w:hAnsi="Arial" w:cs="Arial"/>
                <w:sz w:val="24"/>
                <w:szCs w:val="24"/>
              </w:rPr>
            </w:pPr>
            <w:r w:rsidRPr="00D6510D">
              <w:rPr>
                <w:rFonts w:ascii="Arial" w:hAnsi="Arial" w:cs="Arial"/>
                <w:sz w:val="24"/>
                <w:szCs w:val="24"/>
              </w:rPr>
              <w:t>£9,500</w:t>
            </w:r>
          </w:p>
        </w:tc>
      </w:tr>
      <w:tr w:rsidR="008C5FFF" w14:paraId="62CC531C" w14:textId="77777777" w:rsidTr="008C5FFF">
        <w:trPr>
          <w:cantSplit/>
          <w:trHeight w:hRule="exact" w:val="57"/>
        </w:trPr>
        <w:tc>
          <w:tcPr>
            <w:tcW w:w="767" w:type="dxa"/>
          </w:tcPr>
          <w:p w14:paraId="71020E1F" w14:textId="77777777" w:rsidR="008C5FFF" w:rsidRDefault="008C5FFF" w:rsidP="007A2AB9">
            <w:pPr>
              <w:jc w:val="center"/>
              <w:rPr>
                <w:b/>
                <w:bCs/>
              </w:rPr>
            </w:pPr>
          </w:p>
        </w:tc>
        <w:tc>
          <w:tcPr>
            <w:tcW w:w="6032" w:type="dxa"/>
          </w:tcPr>
          <w:p w14:paraId="76E49E17" w14:textId="77777777" w:rsidR="008C5FFF" w:rsidRPr="00D6510D" w:rsidRDefault="008C5FFF" w:rsidP="007A2AB9">
            <w:pPr>
              <w:jc w:val="center"/>
              <w:rPr>
                <w:rFonts w:ascii="Arial" w:hAnsi="Arial" w:cs="Arial"/>
                <w:sz w:val="24"/>
                <w:szCs w:val="24"/>
              </w:rPr>
            </w:pPr>
          </w:p>
        </w:tc>
        <w:tc>
          <w:tcPr>
            <w:tcW w:w="2268" w:type="dxa"/>
          </w:tcPr>
          <w:p w14:paraId="3B91C8AC" w14:textId="77777777" w:rsidR="008C5FFF" w:rsidRPr="00D6510D" w:rsidRDefault="008C5FFF" w:rsidP="007A2AB9">
            <w:pPr>
              <w:jc w:val="center"/>
              <w:rPr>
                <w:rFonts w:ascii="Arial" w:hAnsi="Arial" w:cs="Arial"/>
                <w:sz w:val="24"/>
                <w:szCs w:val="24"/>
              </w:rPr>
            </w:pPr>
          </w:p>
        </w:tc>
      </w:tr>
      <w:tr w:rsidR="008C5FFF" w14:paraId="2C54FE25" w14:textId="77777777" w:rsidTr="008C5FFF">
        <w:trPr>
          <w:trHeight w:val="567"/>
        </w:trPr>
        <w:tc>
          <w:tcPr>
            <w:tcW w:w="767" w:type="dxa"/>
          </w:tcPr>
          <w:p w14:paraId="308DE499" w14:textId="5F26C268" w:rsidR="008C5FFF" w:rsidRDefault="008C5FFF" w:rsidP="007A2AB9">
            <w:pPr>
              <w:jc w:val="center"/>
              <w:rPr>
                <w:b/>
                <w:bCs/>
              </w:rPr>
            </w:pPr>
            <w:r>
              <w:rPr>
                <w:b/>
                <w:bCs/>
              </w:rPr>
              <w:t>3</w:t>
            </w:r>
          </w:p>
        </w:tc>
        <w:tc>
          <w:tcPr>
            <w:tcW w:w="6032" w:type="dxa"/>
          </w:tcPr>
          <w:p w14:paraId="4E87805F" w14:textId="2AF4577F" w:rsidR="008C5FFF" w:rsidRPr="00D6510D" w:rsidRDefault="008C5FFF" w:rsidP="007A2AB9">
            <w:pPr>
              <w:jc w:val="center"/>
              <w:rPr>
                <w:rFonts w:ascii="Arial" w:hAnsi="Arial" w:cs="Arial"/>
                <w:sz w:val="24"/>
                <w:szCs w:val="24"/>
              </w:rPr>
            </w:pPr>
            <w:r w:rsidRPr="00D6510D">
              <w:rPr>
                <w:rFonts w:ascii="Arial" w:hAnsi="Arial" w:cs="Arial"/>
                <w:sz w:val="24"/>
                <w:szCs w:val="24"/>
              </w:rPr>
              <w:t>External redecoration</w:t>
            </w:r>
          </w:p>
        </w:tc>
        <w:tc>
          <w:tcPr>
            <w:tcW w:w="2268" w:type="dxa"/>
          </w:tcPr>
          <w:p w14:paraId="3F549E98" w14:textId="2B16F81C" w:rsidR="008C5FFF" w:rsidRPr="00D6510D" w:rsidRDefault="008C5FFF" w:rsidP="007A2AB9">
            <w:pPr>
              <w:jc w:val="center"/>
              <w:rPr>
                <w:rFonts w:ascii="Arial" w:hAnsi="Arial" w:cs="Arial"/>
                <w:sz w:val="24"/>
                <w:szCs w:val="24"/>
              </w:rPr>
            </w:pPr>
            <w:r w:rsidRPr="00D6510D">
              <w:rPr>
                <w:rFonts w:ascii="Arial" w:hAnsi="Arial" w:cs="Arial"/>
                <w:sz w:val="24"/>
                <w:szCs w:val="24"/>
              </w:rPr>
              <w:t>£9,500</w:t>
            </w:r>
          </w:p>
        </w:tc>
      </w:tr>
      <w:tr w:rsidR="008C5FFF" w14:paraId="444E00C9" w14:textId="77777777" w:rsidTr="008C5FFF">
        <w:trPr>
          <w:cantSplit/>
          <w:trHeight w:hRule="exact" w:val="57"/>
        </w:trPr>
        <w:tc>
          <w:tcPr>
            <w:tcW w:w="767" w:type="dxa"/>
          </w:tcPr>
          <w:p w14:paraId="4431FE09" w14:textId="77777777" w:rsidR="008C5FFF" w:rsidRDefault="008C5FFF" w:rsidP="007A2AB9">
            <w:pPr>
              <w:jc w:val="center"/>
              <w:rPr>
                <w:b/>
                <w:bCs/>
              </w:rPr>
            </w:pPr>
          </w:p>
        </w:tc>
        <w:tc>
          <w:tcPr>
            <w:tcW w:w="6032" w:type="dxa"/>
          </w:tcPr>
          <w:p w14:paraId="4CEB6806" w14:textId="77777777" w:rsidR="008C5FFF" w:rsidRPr="00D6510D" w:rsidRDefault="008C5FFF" w:rsidP="007A2AB9">
            <w:pPr>
              <w:jc w:val="center"/>
              <w:rPr>
                <w:rFonts w:ascii="Arial" w:hAnsi="Arial" w:cs="Arial"/>
                <w:sz w:val="24"/>
                <w:szCs w:val="24"/>
              </w:rPr>
            </w:pPr>
          </w:p>
        </w:tc>
        <w:tc>
          <w:tcPr>
            <w:tcW w:w="2268" w:type="dxa"/>
          </w:tcPr>
          <w:p w14:paraId="7E029654" w14:textId="77777777" w:rsidR="008C5FFF" w:rsidRPr="00D6510D" w:rsidRDefault="008C5FFF" w:rsidP="007A2AB9">
            <w:pPr>
              <w:jc w:val="center"/>
              <w:rPr>
                <w:rFonts w:ascii="Arial" w:hAnsi="Arial" w:cs="Arial"/>
                <w:sz w:val="24"/>
                <w:szCs w:val="24"/>
              </w:rPr>
            </w:pPr>
          </w:p>
        </w:tc>
      </w:tr>
      <w:tr w:rsidR="008C5FFF" w14:paraId="6E98FDB6" w14:textId="77777777" w:rsidTr="008C5FFF">
        <w:trPr>
          <w:trHeight w:val="567"/>
        </w:trPr>
        <w:tc>
          <w:tcPr>
            <w:tcW w:w="767" w:type="dxa"/>
          </w:tcPr>
          <w:p w14:paraId="14756F27" w14:textId="7E4A2B58" w:rsidR="008C5FFF" w:rsidRDefault="008C5FFF" w:rsidP="007A2AB9">
            <w:pPr>
              <w:jc w:val="center"/>
              <w:rPr>
                <w:b/>
                <w:bCs/>
              </w:rPr>
            </w:pPr>
            <w:r>
              <w:rPr>
                <w:b/>
                <w:bCs/>
              </w:rPr>
              <w:t>3</w:t>
            </w:r>
          </w:p>
        </w:tc>
        <w:tc>
          <w:tcPr>
            <w:tcW w:w="6032" w:type="dxa"/>
          </w:tcPr>
          <w:p w14:paraId="7835F5CB" w14:textId="2C4ED97F" w:rsidR="008C5FFF" w:rsidRPr="00D6510D" w:rsidRDefault="008C5FFF" w:rsidP="007A2AB9">
            <w:pPr>
              <w:jc w:val="center"/>
              <w:rPr>
                <w:rFonts w:ascii="Arial" w:hAnsi="Arial" w:cs="Arial"/>
                <w:sz w:val="24"/>
                <w:szCs w:val="24"/>
              </w:rPr>
            </w:pPr>
            <w:r w:rsidRPr="00D6510D">
              <w:rPr>
                <w:rFonts w:ascii="Arial" w:hAnsi="Arial" w:cs="Arial"/>
                <w:sz w:val="24"/>
                <w:szCs w:val="24"/>
              </w:rPr>
              <w:t>Upgrade existing fascia, soffit &amp; rainwater goods</w:t>
            </w:r>
          </w:p>
        </w:tc>
        <w:tc>
          <w:tcPr>
            <w:tcW w:w="2268" w:type="dxa"/>
          </w:tcPr>
          <w:p w14:paraId="492369A7" w14:textId="6858C1DF" w:rsidR="008C5FFF" w:rsidRPr="00D6510D" w:rsidRDefault="008C5FFF" w:rsidP="007A2AB9">
            <w:pPr>
              <w:jc w:val="center"/>
              <w:rPr>
                <w:rFonts w:ascii="Arial" w:hAnsi="Arial" w:cs="Arial"/>
                <w:sz w:val="24"/>
                <w:szCs w:val="24"/>
              </w:rPr>
            </w:pPr>
            <w:r w:rsidRPr="00D6510D">
              <w:rPr>
                <w:rFonts w:ascii="Arial" w:hAnsi="Arial" w:cs="Arial"/>
                <w:sz w:val="24"/>
                <w:szCs w:val="24"/>
              </w:rPr>
              <w:t>£15,000</w:t>
            </w:r>
          </w:p>
        </w:tc>
      </w:tr>
      <w:tr w:rsidR="008C5FFF" w14:paraId="69EECC58" w14:textId="77777777" w:rsidTr="008C5FFF">
        <w:trPr>
          <w:cantSplit/>
          <w:trHeight w:hRule="exact" w:val="57"/>
        </w:trPr>
        <w:tc>
          <w:tcPr>
            <w:tcW w:w="767" w:type="dxa"/>
          </w:tcPr>
          <w:p w14:paraId="1FE48866" w14:textId="77777777" w:rsidR="008C5FFF" w:rsidRDefault="008C5FFF" w:rsidP="007A2AB9">
            <w:pPr>
              <w:jc w:val="center"/>
              <w:rPr>
                <w:b/>
                <w:bCs/>
              </w:rPr>
            </w:pPr>
          </w:p>
        </w:tc>
        <w:tc>
          <w:tcPr>
            <w:tcW w:w="6032" w:type="dxa"/>
          </w:tcPr>
          <w:p w14:paraId="1D516F06" w14:textId="77777777" w:rsidR="008C5FFF" w:rsidRPr="00D6510D" w:rsidRDefault="008C5FFF" w:rsidP="007A2AB9">
            <w:pPr>
              <w:jc w:val="center"/>
              <w:rPr>
                <w:rFonts w:ascii="Arial" w:hAnsi="Arial" w:cs="Arial"/>
                <w:sz w:val="24"/>
                <w:szCs w:val="24"/>
              </w:rPr>
            </w:pPr>
          </w:p>
        </w:tc>
        <w:tc>
          <w:tcPr>
            <w:tcW w:w="2268" w:type="dxa"/>
          </w:tcPr>
          <w:p w14:paraId="581CF4F9" w14:textId="77777777" w:rsidR="008C5FFF" w:rsidRPr="00D6510D" w:rsidRDefault="008C5FFF" w:rsidP="007A2AB9">
            <w:pPr>
              <w:jc w:val="center"/>
              <w:rPr>
                <w:rFonts w:ascii="Arial" w:hAnsi="Arial" w:cs="Arial"/>
                <w:sz w:val="24"/>
                <w:szCs w:val="24"/>
              </w:rPr>
            </w:pPr>
          </w:p>
        </w:tc>
      </w:tr>
      <w:tr w:rsidR="008C5FFF" w14:paraId="100CFAFE" w14:textId="77777777" w:rsidTr="008C5FFF">
        <w:trPr>
          <w:trHeight w:val="567"/>
        </w:trPr>
        <w:tc>
          <w:tcPr>
            <w:tcW w:w="767" w:type="dxa"/>
          </w:tcPr>
          <w:p w14:paraId="5E462D76" w14:textId="5D059526" w:rsidR="008C5FFF" w:rsidRDefault="008C5FFF" w:rsidP="007A2AB9">
            <w:pPr>
              <w:jc w:val="center"/>
              <w:rPr>
                <w:b/>
                <w:bCs/>
              </w:rPr>
            </w:pPr>
            <w:r>
              <w:rPr>
                <w:b/>
                <w:bCs/>
              </w:rPr>
              <w:t>4</w:t>
            </w:r>
          </w:p>
        </w:tc>
        <w:tc>
          <w:tcPr>
            <w:tcW w:w="6032" w:type="dxa"/>
          </w:tcPr>
          <w:p w14:paraId="454B029A" w14:textId="267BB172" w:rsidR="008C5FFF" w:rsidRPr="00D6510D" w:rsidRDefault="008C5FFF" w:rsidP="007A2AB9">
            <w:pPr>
              <w:jc w:val="center"/>
              <w:rPr>
                <w:rFonts w:ascii="Arial" w:hAnsi="Arial" w:cs="Arial"/>
                <w:sz w:val="24"/>
                <w:szCs w:val="24"/>
              </w:rPr>
            </w:pPr>
            <w:r w:rsidRPr="00D6510D">
              <w:rPr>
                <w:rFonts w:ascii="Arial" w:hAnsi="Arial" w:cs="Arial"/>
                <w:sz w:val="24"/>
                <w:szCs w:val="24"/>
              </w:rPr>
              <w:t>Replacement of existing boiler with a more modern energy efficient type.</w:t>
            </w:r>
          </w:p>
        </w:tc>
        <w:tc>
          <w:tcPr>
            <w:tcW w:w="2268" w:type="dxa"/>
          </w:tcPr>
          <w:p w14:paraId="69AF95A6" w14:textId="7709DED9" w:rsidR="008C5FFF" w:rsidRPr="00D6510D" w:rsidRDefault="008C5FFF" w:rsidP="007A2AB9">
            <w:pPr>
              <w:jc w:val="center"/>
              <w:rPr>
                <w:rFonts w:ascii="Arial" w:hAnsi="Arial" w:cs="Arial"/>
                <w:sz w:val="24"/>
                <w:szCs w:val="24"/>
              </w:rPr>
            </w:pPr>
            <w:r w:rsidRPr="00D6510D">
              <w:rPr>
                <w:rFonts w:ascii="Arial" w:hAnsi="Arial" w:cs="Arial"/>
                <w:sz w:val="24"/>
                <w:szCs w:val="24"/>
              </w:rPr>
              <w:t>£15,000</w:t>
            </w:r>
          </w:p>
        </w:tc>
      </w:tr>
      <w:tr w:rsidR="008C5FFF" w14:paraId="791C3DA3" w14:textId="77777777" w:rsidTr="008C5FFF">
        <w:trPr>
          <w:cantSplit/>
          <w:trHeight w:hRule="exact" w:val="57"/>
        </w:trPr>
        <w:tc>
          <w:tcPr>
            <w:tcW w:w="767" w:type="dxa"/>
          </w:tcPr>
          <w:p w14:paraId="195FDE30" w14:textId="77777777" w:rsidR="008C5FFF" w:rsidRDefault="008C5FFF" w:rsidP="007A2AB9">
            <w:pPr>
              <w:jc w:val="center"/>
              <w:rPr>
                <w:b/>
                <w:bCs/>
              </w:rPr>
            </w:pPr>
          </w:p>
        </w:tc>
        <w:tc>
          <w:tcPr>
            <w:tcW w:w="6032" w:type="dxa"/>
          </w:tcPr>
          <w:p w14:paraId="0DDB9AA7" w14:textId="77777777" w:rsidR="008C5FFF" w:rsidRPr="00D6510D" w:rsidRDefault="008C5FFF" w:rsidP="007A2AB9">
            <w:pPr>
              <w:jc w:val="center"/>
              <w:rPr>
                <w:rFonts w:ascii="Arial" w:hAnsi="Arial" w:cs="Arial"/>
                <w:sz w:val="24"/>
                <w:szCs w:val="24"/>
              </w:rPr>
            </w:pPr>
          </w:p>
        </w:tc>
        <w:tc>
          <w:tcPr>
            <w:tcW w:w="2268" w:type="dxa"/>
          </w:tcPr>
          <w:p w14:paraId="3CC8A986" w14:textId="77777777" w:rsidR="008C5FFF" w:rsidRPr="00D6510D" w:rsidRDefault="008C5FFF" w:rsidP="007A2AB9">
            <w:pPr>
              <w:jc w:val="center"/>
              <w:rPr>
                <w:rFonts w:ascii="Arial" w:hAnsi="Arial" w:cs="Arial"/>
                <w:sz w:val="24"/>
                <w:szCs w:val="24"/>
              </w:rPr>
            </w:pPr>
          </w:p>
        </w:tc>
      </w:tr>
      <w:tr w:rsidR="008C5FFF" w14:paraId="5D87BB1B" w14:textId="77777777" w:rsidTr="008C5FFF">
        <w:trPr>
          <w:trHeight w:val="567"/>
        </w:trPr>
        <w:tc>
          <w:tcPr>
            <w:tcW w:w="767" w:type="dxa"/>
          </w:tcPr>
          <w:p w14:paraId="2195C8F8" w14:textId="7B231398" w:rsidR="008C5FFF" w:rsidRDefault="008C5FFF" w:rsidP="007A2AB9">
            <w:pPr>
              <w:jc w:val="center"/>
              <w:rPr>
                <w:b/>
                <w:bCs/>
              </w:rPr>
            </w:pPr>
            <w:r>
              <w:rPr>
                <w:b/>
                <w:bCs/>
              </w:rPr>
              <w:t>5</w:t>
            </w:r>
          </w:p>
        </w:tc>
        <w:tc>
          <w:tcPr>
            <w:tcW w:w="6032" w:type="dxa"/>
          </w:tcPr>
          <w:p w14:paraId="0A4B959C" w14:textId="1C769A77" w:rsidR="008C5FFF" w:rsidRPr="00D6510D" w:rsidRDefault="008C5FFF" w:rsidP="007A2AB9">
            <w:pPr>
              <w:jc w:val="center"/>
              <w:rPr>
                <w:rFonts w:ascii="Arial" w:hAnsi="Arial" w:cs="Arial"/>
                <w:sz w:val="24"/>
                <w:szCs w:val="24"/>
              </w:rPr>
            </w:pPr>
            <w:r w:rsidRPr="00D6510D">
              <w:rPr>
                <w:rFonts w:ascii="Arial" w:hAnsi="Arial" w:cs="Arial"/>
                <w:sz w:val="24"/>
                <w:szCs w:val="24"/>
              </w:rPr>
              <w:t>Smoke &amp; Heat detector upgrade (This will be monitored through annual service records and will be brought forward if necessary).</w:t>
            </w:r>
          </w:p>
        </w:tc>
        <w:tc>
          <w:tcPr>
            <w:tcW w:w="2268" w:type="dxa"/>
          </w:tcPr>
          <w:p w14:paraId="10B7280A" w14:textId="634408B1" w:rsidR="008C5FFF" w:rsidRPr="00D6510D" w:rsidRDefault="008C5FFF" w:rsidP="007A2AB9">
            <w:pPr>
              <w:jc w:val="center"/>
              <w:rPr>
                <w:rFonts w:ascii="Arial" w:hAnsi="Arial" w:cs="Arial"/>
                <w:sz w:val="24"/>
                <w:szCs w:val="24"/>
              </w:rPr>
            </w:pPr>
            <w:r w:rsidRPr="00D6510D">
              <w:rPr>
                <w:rFonts w:ascii="Arial" w:hAnsi="Arial" w:cs="Arial"/>
                <w:sz w:val="24"/>
                <w:szCs w:val="24"/>
              </w:rPr>
              <w:t>£9,600</w:t>
            </w:r>
          </w:p>
        </w:tc>
      </w:tr>
      <w:tr w:rsidR="008C5FFF" w14:paraId="540FBF19" w14:textId="77777777" w:rsidTr="008C5FFF">
        <w:trPr>
          <w:cantSplit/>
          <w:trHeight w:hRule="exact" w:val="57"/>
        </w:trPr>
        <w:tc>
          <w:tcPr>
            <w:tcW w:w="767" w:type="dxa"/>
          </w:tcPr>
          <w:p w14:paraId="2F20466D" w14:textId="77777777" w:rsidR="008C5FFF" w:rsidRDefault="008C5FFF" w:rsidP="007A2AB9">
            <w:pPr>
              <w:jc w:val="center"/>
              <w:rPr>
                <w:b/>
                <w:bCs/>
              </w:rPr>
            </w:pPr>
          </w:p>
        </w:tc>
        <w:tc>
          <w:tcPr>
            <w:tcW w:w="6032" w:type="dxa"/>
          </w:tcPr>
          <w:p w14:paraId="043A8D7B" w14:textId="77777777" w:rsidR="008C5FFF" w:rsidRPr="00D6510D" w:rsidRDefault="008C5FFF" w:rsidP="007A2AB9">
            <w:pPr>
              <w:jc w:val="center"/>
              <w:rPr>
                <w:rFonts w:ascii="Arial" w:hAnsi="Arial" w:cs="Arial"/>
                <w:sz w:val="24"/>
                <w:szCs w:val="24"/>
              </w:rPr>
            </w:pPr>
          </w:p>
        </w:tc>
        <w:tc>
          <w:tcPr>
            <w:tcW w:w="2268" w:type="dxa"/>
          </w:tcPr>
          <w:p w14:paraId="55525EE8" w14:textId="77777777" w:rsidR="008C5FFF" w:rsidRPr="00D6510D" w:rsidRDefault="008C5FFF" w:rsidP="007A2AB9">
            <w:pPr>
              <w:jc w:val="center"/>
              <w:rPr>
                <w:rFonts w:ascii="Arial" w:hAnsi="Arial" w:cs="Arial"/>
                <w:sz w:val="24"/>
                <w:szCs w:val="24"/>
              </w:rPr>
            </w:pPr>
          </w:p>
        </w:tc>
      </w:tr>
      <w:tr w:rsidR="008C5FFF" w14:paraId="7E622539" w14:textId="77777777" w:rsidTr="008C5FFF">
        <w:trPr>
          <w:trHeight w:val="567"/>
        </w:trPr>
        <w:tc>
          <w:tcPr>
            <w:tcW w:w="767" w:type="dxa"/>
          </w:tcPr>
          <w:p w14:paraId="792235C1" w14:textId="440E6C7B" w:rsidR="008C5FFF" w:rsidRDefault="008C5FFF" w:rsidP="007A2AB9">
            <w:pPr>
              <w:jc w:val="center"/>
              <w:rPr>
                <w:b/>
                <w:bCs/>
              </w:rPr>
            </w:pPr>
            <w:r>
              <w:rPr>
                <w:b/>
                <w:bCs/>
              </w:rPr>
              <w:t>5</w:t>
            </w:r>
          </w:p>
        </w:tc>
        <w:tc>
          <w:tcPr>
            <w:tcW w:w="6032" w:type="dxa"/>
          </w:tcPr>
          <w:p w14:paraId="3075199C" w14:textId="565DEC0F" w:rsidR="008C5FFF" w:rsidRPr="00D6510D" w:rsidRDefault="008C5FFF" w:rsidP="007A2AB9">
            <w:pPr>
              <w:jc w:val="center"/>
              <w:rPr>
                <w:rFonts w:ascii="Arial" w:hAnsi="Arial" w:cs="Arial"/>
                <w:sz w:val="24"/>
                <w:szCs w:val="24"/>
              </w:rPr>
            </w:pPr>
            <w:r w:rsidRPr="00D6510D">
              <w:rPr>
                <w:rFonts w:ascii="Arial" w:hAnsi="Arial" w:cs="Arial"/>
                <w:sz w:val="24"/>
                <w:szCs w:val="24"/>
              </w:rPr>
              <w:t>Landscaping of external flower beds</w:t>
            </w:r>
          </w:p>
        </w:tc>
        <w:tc>
          <w:tcPr>
            <w:tcW w:w="2268" w:type="dxa"/>
          </w:tcPr>
          <w:p w14:paraId="1764501D" w14:textId="2655686A" w:rsidR="008C5FFF" w:rsidRPr="00D6510D" w:rsidRDefault="008C5FFF" w:rsidP="007A2AB9">
            <w:pPr>
              <w:jc w:val="center"/>
              <w:rPr>
                <w:rFonts w:ascii="Arial" w:hAnsi="Arial" w:cs="Arial"/>
                <w:sz w:val="24"/>
                <w:szCs w:val="24"/>
              </w:rPr>
            </w:pPr>
            <w:r w:rsidRPr="00D6510D">
              <w:rPr>
                <w:rFonts w:ascii="Arial" w:hAnsi="Arial" w:cs="Arial"/>
                <w:sz w:val="24"/>
                <w:szCs w:val="24"/>
              </w:rPr>
              <w:t>£5,000</w:t>
            </w:r>
          </w:p>
        </w:tc>
      </w:tr>
      <w:tr w:rsidR="008C5FFF" w14:paraId="59A7E456" w14:textId="77777777" w:rsidTr="008C5FFF">
        <w:trPr>
          <w:cantSplit/>
          <w:trHeight w:hRule="exact" w:val="57"/>
        </w:trPr>
        <w:tc>
          <w:tcPr>
            <w:tcW w:w="767" w:type="dxa"/>
          </w:tcPr>
          <w:p w14:paraId="6BF61812" w14:textId="77777777" w:rsidR="008C5FFF" w:rsidRDefault="008C5FFF" w:rsidP="007A2AB9">
            <w:pPr>
              <w:jc w:val="center"/>
              <w:rPr>
                <w:b/>
                <w:bCs/>
              </w:rPr>
            </w:pPr>
          </w:p>
        </w:tc>
        <w:tc>
          <w:tcPr>
            <w:tcW w:w="6032" w:type="dxa"/>
          </w:tcPr>
          <w:p w14:paraId="5B066173" w14:textId="77777777" w:rsidR="008C5FFF" w:rsidRPr="00D6510D" w:rsidRDefault="008C5FFF" w:rsidP="007A2AB9">
            <w:pPr>
              <w:jc w:val="center"/>
              <w:rPr>
                <w:rFonts w:ascii="Arial" w:hAnsi="Arial" w:cs="Arial"/>
                <w:sz w:val="24"/>
                <w:szCs w:val="24"/>
              </w:rPr>
            </w:pPr>
          </w:p>
        </w:tc>
        <w:tc>
          <w:tcPr>
            <w:tcW w:w="2268" w:type="dxa"/>
          </w:tcPr>
          <w:p w14:paraId="7A56377B" w14:textId="77777777" w:rsidR="008C5FFF" w:rsidRPr="00D6510D" w:rsidRDefault="008C5FFF" w:rsidP="007A2AB9">
            <w:pPr>
              <w:jc w:val="center"/>
              <w:rPr>
                <w:rFonts w:ascii="Arial" w:hAnsi="Arial" w:cs="Arial"/>
                <w:sz w:val="24"/>
                <w:szCs w:val="24"/>
              </w:rPr>
            </w:pPr>
          </w:p>
        </w:tc>
      </w:tr>
      <w:tr w:rsidR="008C5FFF" w14:paraId="1E78DCA3" w14:textId="77777777" w:rsidTr="008C5FFF">
        <w:trPr>
          <w:trHeight w:val="567"/>
        </w:trPr>
        <w:tc>
          <w:tcPr>
            <w:tcW w:w="767" w:type="dxa"/>
          </w:tcPr>
          <w:p w14:paraId="18EF9DBF" w14:textId="77777777" w:rsidR="008C5FFF" w:rsidRDefault="008C5FFF" w:rsidP="007A2AB9">
            <w:pPr>
              <w:jc w:val="center"/>
              <w:rPr>
                <w:b/>
                <w:bCs/>
              </w:rPr>
            </w:pPr>
          </w:p>
        </w:tc>
        <w:tc>
          <w:tcPr>
            <w:tcW w:w="6032" w:type="dxa"/>
          </w:tcPr>
          <w:p w14:paraId="3B836E72" w14:textId="77777777" w:rsidR="008C5FFF" w:rsidRPr="00D6510D" w:rsidRDefault="008C5FFF" w:rsidP="007A2AB9">
            <w:pPr>
              <w:jc w:val="center"/>
              <w:rPr>
                <w:rFonts w:ascii="Arial" w:hAnsi="Arial" w:cs="Arial"/>
                <w:sz w:val="24"/>
                <w:szCs w:val="24"/>
              </w:rPr>
            </w:pPr>
          </w:p>
        </w:tc>
        <w:tc>
          <w:tcPr>
            <w:tcW w:w="2268" w:type="dxa"/>
          </w:tcPr>
          <w:p w14:paraId="39E36B47" w14:textId="11D79BC1" w:rsidR="008C5FFF" w:rsidRPr="00D6510D" w:rsidRDefault="008C5FFF" w:rsidP="007A2AB9">
            <w:pPr>
              <w:jc w:val="center"/>
              <w:rPr>
                <w:rFonts w:ascii="Arial" w:hAnsi="Arial" w:cs="Arial"/>
                <w:b/>
                <w:bCs/>
                <w:sz w:val="24"/>
                <w:szCs w:val="24"/>
              </w:rPr>
            </w:pPr>
            <w:r w:rsidRPr="00D6510D">
              <w:rPr>
                <w:rFonts w:ascii="Arial" w:hAnsi="Arial" w:cs="Arial"/>
                <w:b/>
                <w:bCs/>
                <w:sz w:val="24"/>
                <w:szCs w:val="24"/>
              </w:rPr>
              <w:t>Total: £145,100</w:t>
            </w:r>
          </w:p>
        </w:tc>
      </w:tr>
    </w:tbl>
    <w:p w14:paraId="37A17D67" w14:textId="689CB038" w:rsidR="006A6A31" w:rsidRPr="000D3FE3" w:rsidRDefault="006A6A31" w:rsidP="008C5FFF"/>
    <w:p w14:paraId="55BA7CF7" w14:textId="1C6714DF" w:rsidR="000D3FE3" w:rsidRPr="00095BB3" w:rsidRDefault="000D3FE3" w:rsidP="000D3FE3">
      <w:pPr>
        <w:tabs>
          <w:tab w:val="left" w:pos="3330"/>
        </w:tabs>
      </w:pPr>
    </w:p>
    <w:sectPr w:rsidR="000D3FE3" w:rsidRPr="00095BB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A736" w14:textId="77777777" w:rsidR="004B2DF9" w:rsidRDefault="004B2DF9" w:rsidP="006A6A31">
      <w:pPr>
        <w:spacing w:after="0" w:line="240" w:lineRule="auto"/>
      </w:pPr>
      <w:r>
        <w:separator/>
      </w:r>
    </w:p>
  </w:endnote>
  <w:endnote w:type="continuationSeparator" w:id="0">
    <w:p w14:paraId="6BA99A59" w14:textId="77777777" w:rsidR="004B2DF9" w:rsidRDefault="004B2DF9" w:rsidP="006A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0FFB6" w14:textId="77777777" w:rsidR="00BE3ABC" w:rsidRDefault="00BE3A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911873"/>
      <w:docPartObj>
        <w:docPartGallery w:val="Page Numbers (Bottom of Page)"/>
        <w:docPartUnique/>
      </w:docPartObj>
    </w:sdtPr>
    <w:sdtEndPr>
      <w:rPr>
        <w:noProof/>
      </w:rPr>
    </w:sdtEndPr>
    <w:sdtContent>
      <w:p w14:paraId="085342F7" w14:textId="3C4F8D39" w:rsidR="00BE3ABC" w:rsidRDefault="00BE3A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0DC059" w14:textId="77777777" w:rsidR="00BE3ABC" w:rsidRDefault="00BE3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1224" w14:textId="77777777" w:rsidR="00BE3ABC" w:rsidRDefault="00BE3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696FD" w14:textId="77777777" w:rsidR="004B2DF9" w:rsidRDefault="004B2DF9" w:rsidP="006A6A31">
      <w:pPr>
        <w:spacing w:after="0" w:line="240" w:lineRule="auto"/>
      </w:pPr>
      <w:r>
        <w:separator/>
      </w:r>
    </w:p>
  </w:footnote>
  <w:footnote w:type="continuationSeparator" w:id="0">
    <w:p w14:paraId="02718866" w14:textId="77777777" w:rsidR="004B2DF9" w:rsidRDefault="004B2DF9" w:rsidP="006A6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26DE" w14:textId="77777777" w:rsidR="00BE3ABC" w:rsidRDefault="00BE3A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2280D" w14:textId="11F27437" w:rsidR="00BE3ABC" w:rsidRDefault="00BE3ABC">
    <w:pPr>
      <w:pStyle w:val="Header"/>
    </w:pPr>
    <w:r>
      <w:ptab w:relativeTo="margin" w:alignment="center" w:leader="none"/>
    </w:r>
    <w:r>
      <w:ptab w:relativeTo="margin" w:alignment="right" w:leader="none"/>
    </w:r>
    <w:r>
      <w:t>Paper 3A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3160A" w14:textId="77777777" w:rsidR="00BE3ABC" w:rsidRDefault="00BE3A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10BA"/>
    <w:multiLevelType w:val="hybridMultilevel"/>
    <w:tmpl w:val="9D5EB92A"/>
    <w:lvl w:ilvl="0" w:tplc="49304788">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1253B"/>
    <w:multiLevelType w:val="hybridMultilevel"/>
    <w:tmpl w:val="0C04589C"/>
    <w:lvl w:ilvl="0" w:tplc="792AD29A">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D1D7B"/>
    <w:multiLevelType w:val="hybridMultilevel"/>
    <w:tmpl w:val="4720113E"/>
    <w:lvl w:ilvl="0" w:tplc="0582C9A4">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F4255"/>
    <w:multiLevelType w:val="hybridMultilevel"/>
    <w:tmpl w:val="603C5E44"/>
    <w:lvl w:ilvl="0" w:tplc="24923C9A">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039D0"/>
    <w:multiLevelType w:val="hybridMultilevel"/>
    <w:tmpl w:val="3CCA956E"/>
    <w:lvl w:ilvl="0" w:tplc="FEAA5598">
      <w:start w:val="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6D15CB"/>
    <w:multiLevelType w:val="hybridMultilevel"/>
    <w:tmpl w:val="69B6F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643610">
    <w:abstractNumId w:val="0"/>
  </w:num>
  <w:num w:numId="2" w16cid:durableId="215436946">
    <w:abstractNumId w:val="4"/>
  </w:num>
  <w:num w:numId="3" w16cid:durableId="1972663341">
    <w:abstractNumId w:val="1"/>
  </w:num>
  <w:num w:numId="4" w16cid:durableId="941378448">
    <w:abstractNumId w:val="3"/>
  </w:num>
  <w:num w:numId="5" w16cid:durableId="1850366534">
    <w:abstractNumId w:val="2"/>
  </w:num>
  <w:num w:numId="6" w16cid:durableId="669521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303"/>
    <w:rsid w:val="00094303"/>
    <w:rsid w:val="00095BB3"/>
    <w:rsid w:val="000D3FE3"/>
    <w:rsid w:val="00131BC3"/>
    <w:rsid w:val="004658C8"/>
    <w:rsid w:val="004B2DF9"/>
    <w:rsid w:val="00676C3E"/>
    <w:rsid w:val="006A6A31"/>
    <w:rsid w:val="008C5FFF"/>
    <w:rsid w:val="00BE3ABC"/>
    <w:rsid w:val="00C072A3"/>
    <w:rsid w:val="00C53398"/>
    <w:rsid w:val="00CB4181"/>
    <w:rsid w:val="00D6510D"/>
    <w:rsid w:val="00D73B0E"/>
    <w:rsid w:val="00F843B5"/>
    <w:rsid w:val="00FC7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249E"/>
  <w15:chartTrackingRefBased/>
  <w15:docId w15:val="{60C3CAFD-FC41-48A0-ADB0-C49FF7523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43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43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43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43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43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43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3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3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3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3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43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43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43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43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43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3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3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303"/>
    <w:rPr>
      <w:rFonts w:eastAsiaTheme="majorEastAsia" w:cstheme="majorBidi"/>
      <w:color w:val="272727" w:themeColor="text1" w:themeTint="D8"/>
    </w:rPr>
  </w:style>
  <w:style w:type="paragraph" w:styleId="Title">
    <w:name w:val="Title"/>
    <w:basedOn w:val="Normal"/>
    <w:next w:val="Normal"/>
    <w:link w:val="TitleChar"/>
    <w:uiPriority w:val="10"/>
    <w:qFormat/>
    <w:rsid w:val="00094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3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3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3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303"/>
    <w:pPr>
      <w:spacing w:before="160"/>
      <w:jc w:val="center"/>
    </w:pPr>
    <w:rPr>
      <w:i/>
      <w:iCs/>
      <w:color w:val="404040" w:themeColor="text1" w:themeTint="BF"/>
    </w:rPr>
  </w:style>
  <w:style w:type="character" w:customStyle="1" w:styleId="QuoteChar">
    <w:name w:val="Quote Char"/>
    <w:basedOn w:val="DefaultParagraphFont"/>
    <w:link w:val="Quote"/>
    <w:uiPriority w:val="29"/>
    <w:rsid w:val="00094303"/>
    <w:rPr>
      <w:i/>
      <w:iCs/>
      <w:color w:val="404040" w:themeColor="text1" w:themeTint="BF"/>
    </w:rPr>
  </w:style>
  <w:style w:type="paragraph" w:styleId="ListParagraph">
    <w:name w:val="List Paragraph"/>
    <w:basedOn w:val="Normal"/>
    <w:uiPriority w:val="34"/>
    <w:qFormat/>
    <w:rsid w:val="00094303"/>
    <w:pPr>
      <w:ind w:left="720"/>
      <w:contextualSpacing/>
    </w:pPr>
  </w:style>
  <w:style w:type="character" w:styleId="IntenseEmphasis">
    <w:name w:val="Intense Emphasis"/>
    <w:basedOn w:val="DefaultParagraphFont"/>
    <w:uiPriority w:val="21"/>
    <w:qFormat/>
    <w:rsid w:val="00094303"/>
    <w:rPr>
      <w:i/>
      <w:iCs/>
      <w:color w:val="0F4761" w:themeColor="accent1" w:themeShade="BF"/>
    </w:rPr>
  </w:style>
  <w:style w:type="paragraph" w:styleId="IntenseQuote">
    <w:name w:val="Intense Quote"/>
    <w:basedOn w:val="Normal"/>
    <w:next w:val="Normal"/>
    <w:link w:val="IntenseQuoteChar"/>
    <w:uiPriority w:val="30"/>
    <w:qFormat/>
    <w:rsid w:val="000943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4303"/>
    <w:rPr>
      <w:i/>
      <w:iCs/>
      <w:color w:val="0F4761" w:themeColor="accent1" w:themeShade="BF"/>
    </w:rPr>
  </w:style>
  <w:style w:type="character" w:styleId="IntenseReference">
    <w:name w:val="Intense Reference"/>
    <w:basedOn w:val="DefaultParagraphFont"/>
    <w:uiPriority w:val="32"/>
    <w:qFormat/>
    <w:rsid w:val="00094303"/>
    <w:rPr>
      <w:b/>
      <w:bCs/>
      <w:smallCaps/>
      <w:color w:val="0F4761" w:themeColor="accent1" w:themeShade="BF"/>
      <w:spacing w:val="5"/>
    </w:rPr>
  </w:style>
  <w:style w:type="paragraph" w:styleId="Header">
    <w:name w:val="header"/>
    <w:basedOn w:val="Normal"/>
    <w:link w:val="HeaderChar"/>
    <w:uiPriority w:val="99"/>
    <w:unhideWhenUsed/>
    <w:rsid w:val="006A6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6A31"/>
  </w:style>
  <w:style w:type="paragraph" w:styleId="Footer">
    <w:name w:val="footer"/>
    <w:basedOn w:val="Normal"/>
    <w:link w:val="FooterChar"/>
    <w:uiPriority w:val="99"/>
    <w:unhideWhenUsed/>
    <w:rsid w:val="006A6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6A31"/>
  </w:style>
  <w:style w:type="table" w:styleId="TableGrid">
    <w:name w:val="Table Grid"/>
    <w:basedOn w:val="TableNormal"/>
    <w:uiPriority w:val="39"/>
    <w:rsid w:val="008C5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05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Office2</dc:creator>
  <cp:keywords/>
  <dc:description/>
  <cp:lastModifiedBy>Billy</cp:lastModifiedBy>
  <cp:revision>2</cp:revision>
  <dcterms:created xsi:type="dcterms:W3CDTF">2025-08-12T11:39:00Z</dcterms:created>
  <dcterms:modified xsi:type="dcterms:W3CDTF">2025-08-12T11:39:00Z</dcterms:modified>
</cp:coreProperties>
</file>